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55A6" w14:textId="67E7DE0A" w:rsidR="004A040E" w:rsidRDefault="004A040E" w:rsidP="004A040E">
      <w:r>
        <w:t xml:space="preserve">Aylık olarak siz değerli yatırımcılarımız ile paylaştığımız, geride bıraktığımız dönemin piyasa gelişmelerinin ve önümüzdeki döneme ilişkin beklentilerin yer aldığı fon bültenini sunuyoruz. Temmuz ayının ardından </w:t>
      </w:r>
      <w:proofErr w:type="gramStart"/>
      <w:r>
        <w:t>Ağustos</w:t>
      </w:r>
      <w:proofErr w:type="gramEnd"/>
      <w:r>
        <w:t xml:space="preserve"> ayına girilirken küresel piyasalarda ABD istihdam piyasasındaki yavaşlama, teknoloji şirketlerinin güçlü finansalları, tahvil faizlerinin seyri ve Orta Doğu kaynaklı jeopolitik gelişmeler fiyatlamaların ana belirleyicileri olarak öne çıkıyor. Zayıflayan istihdam görünümü </w:t>
      </w:r>
      <w:proofErr w:type="spellStart"/>
      <w:r>
        <w:t>Fed’in</w:t>
      </w:r>
      <w:proofErr w:type="spellEnd"/>
      <w:r>
        <w:t xml:space="preserve"> ilave sıkılaşma ihtimalini azaltırken, teknoloji şirketlerinde devam eden güçlü kârlılık S&amp;P 500 ve </w:t>
      </w:r>
      <w:proofErr w:type="spellStart"/>
      <w:r>
        <w:t>Nasdaq</w:t>
      </w:r>
      <w:proofErr w:type="spellEnd"/>
      <w:r>
        <w:t xml:space="preserve"> tarafında risk iştahını destekliyor. Buna karşılık yüksek enerji fiyatları ve uzun vadeli tahvil getirilerinin dirençli seyri, para politikasında hızlı bir gevşeme beklentisini sınırlıyor.</w:t>
      </w:r>
    </w:p>
    <w:p w14:paraId="0D80DBB5" w14:textId="1219192F" w:rsidR="004A040E" w:rsidRDefault="004A040E" w:rsidP="004A040E">
      <w:r>
        <w:t xml:space="preserve">ABD tarafında iş gücü piyasasına ilişkin son veriler ekonomik aktivitede yavaşlama sinyallerini güçlendirdi. Temmuz tarım dışı istihdam verisinin beklentilerin belirgin altında kalması ve önceki aylara ilişkin aşağı yönlü revizyonlar, </w:t>
      </w:r>
      <w:proofErr w:type="spellStart"/>
      <w:r>
        <w:t>Fed’in</w:t>
      </w:r>
      <w:proofErr w:type="spellEnd"/>
      <w:r>
        <w:t xml:space="preserve"> yakın vadede yeniden faiz artırma ihtimalini zayıflattı. Bununla birlikte </w:t>
      </w:r>
      <w:proofErr w:type="gramStart"/>
      <w:r>
        <w:t>Ağustos</w:t>
      </w:r>
      <w:proofErr w:type="gramEnd"/>
      <w:r>
        <w:t xml:space="preserve"> ayında piyasanın odağı istihdamdan enflasyon tarafına kayıyor. ABD 10 yıllık tahvil faizinin istihdam verisi sonrasında %4,60 seviyesine kadar geriledikten sonra yeniden %4,65 civarına yükselmesi, yatırımcıların açıklanacak TÜFE verisine karşı temkinli kaldığını gösteriyor. Hazine tahvil getirilerinin kontrol altında tutulmasına yönelik politika tartışmalarının güç kazanması da önümüzdeki dönemde yalnızca </w:t>
      </w:r>
      <w:proofErr w:type="spellStart"/>
      <w:r>
        <w:t>Fed’in</w:t>
      </w:r>
      <w:proofErr w:type="spellEnd"/>
      <w:r>
        <w:t xml:space="preserve"> politika faizinin değil, uzun vadeli faizlerin ve getiri eğrisinin de piyasa fiyatlamalarında daha fazla önem kazanabileceğine işaret ediyor.</w:t>
      </w:r>
    </w:p>
    <w:p w14:paraId="05BCA073" w14:textId="453E07CA" w:rsidR="004A040E" w:rsidRDefault="004A040E" w:rsidP="004A040E">
      <w:r>
        <w:t xml:space="preserve">ABD hisse senedi piyasalarında güçlü görünüm korunuyor. S&amp;P 500 istihdam verisinin ardından yeni zirvelere ulaşırken </w:t>
      </w:r>
      <w:proofErr w:type="spellStart"/>
      <w:r>
        <w:t>Nasdaq</w:t>
      </w:r>
      <w:proofErr w:type="spellEnd"/>
      <w:r>
        <w:t xml:space="preserve"> teknoloji hisselerindeki alımların desteğiyle pozitif ayrışmayı sürdürüyor. Bilanço sezonunda özellikle yapay zekâ, kurumsal yazılım ve bulut bilişim alanlarında faaliyet gösteren şirketlerin güçlü sonuçları, teknoloji temasının gelir ve kârlılık üretmeye devam ettiğini gösteriyor. Bununla birlikte endekslerde ulaşılan yüksek seviyeler ve uzun süredir devam eden yükseliş, değerleme hassasiyetinin yakından izlenmesini gerektiriyor. Önümüzdeki dönemde teknoloji şirketlerindeki güçlü kârlılığın devam edip etmeyeceği ile yapay zekâ yatırımlarının finansman yapısı, piyasa liderliğinin sürdürülebilirliği açısından belirleyici olacak.</w:t>
      </w:r>
    </w:p>
    <w:p w14:paraId="306416E6" w14:textId="77777777" w:rsidR="004A040E" w:rsidRDefault="004A040E" w:rsidP="004A040E">
      <w:r>
        <w:t xml:space="preserve">Tahvil ve döviz piyasalarında ise para politikası beklentilerinin yanında küresel fonlama koşulları öne çıkıyor. Japonya’da uzun vadeli tahvil faizlerinin yüksek seyri ve yen üzerindeki baskının devam etmesi, Asya finansal sistemindeki sermaye ve fonlama hareketlerine ilişkin tartışmaları artırıyor. Japon bankalarının bölgesel dolar fonlamasında artan rolü ve Çin finansal sisteminde devam eden deflasyonist baskılar, yen ve </w:t>
      </w:r>
      <w:proofErr w:type="spellStart"/>
      <w:r>
        <w:t>yuan</w:t>
      </w:r>
      <w:proofErr w:type="spellEnd"/>
      <w:r>
        <w:t xml:space="preserve"> fiyatlamalarının yalnızca merkez bankası politikalarıyla değil, bölgesel banka bilançoları ve fonlama dinamikleriyle birlikte değerlendirilmesi gerektiğine işaret ediyor.</w:t>
      </w:r>
    </w:p>
    <w:p w14:paraId="0ACF3519" w14:textId="77777777" w:rsidR="004A040E" w:rsidRDefault="004A040E" w:rsidP="004A040E"/>
    <w:p w14:paraId="6307448D" w14:textId="4ACB8778" w:rsidR="004A040E" w:rsidRDefault="004A040E" w:rsidP="004A040E">
      <w:r>
        <w:lastRenderedPageBreak/>
        <w:t>Emtia tarafında petrol fiyatlarında savaş dönemindeki yüksek risk priminin önemli bölümü geri verilmiş olsa da kalıcı bir anlaşmanın henüz oluşmaması enerji fiyatlarını jeopolitik haber akışına duyarlı tutuyor. Ağustos ayına girilirken WTI 78 dolar, Brent ise 84 dolar civarında seyrediyor. Hürmüz Boğazı’nın stratejik önemini azaltabilecek alternatif boru hattı ve enerji koridoru projelerine ilişkin tartışmalar orta vadede arz güvenliği açısından önem taşırken, kısa vadede bölgedeki diplomatik sürecin seyri petrol fiyatlarının yönünde belirleyici olmaya devam edecek. Enerji fiyatlarında yeniden güçlü bir yükseliş görülmesi halinde enflasyon ve faiz beklentilerinin tekrar yukarı yönlü etkilenme riski korunuyor.</w:t>
      </w:r>
    </w:p>
    <w:p w14:paraId="5D1E78A3" w14:textId="41ED61BE" w:rsidR="004A040E" w:rsidRDefault="004A040E" w:rsidP="004A040E">
      <w:r>
        <w:t>Değerli metaller tarafında altın ve gümüş, zayıflayan istihdam verileri ve faiz artırım beklentilerindeki gerilemeyle destek bulurken, fiyatlamaların yalnızca enflasyon beklentileri üzerinden şekillenmediği görülüyor. Uzun vadeli tahvil getirilerinin politika araçlarıyla kontrol altına alınabileceğine ilişkin tartışmalar, piyasa tarafından parasal koşullar açısından destekleyici bir gelişme olarak okunurken, bu görünüm altın açısından da pozitif bir zemin yaratıyor. Bununla birlikte Çin’de para arzı, deflasyon ve altın talebi arasındaki ilişki, değerli metal fiyatlamalarının yalnızca ABD kaynaklı likidite dinamikleriyle açıklanamayacağını gösteriyor. Stratejik madenlere yönelik ABD finansmanının artması ve Çin kaynaklı arz kısıtları da değerli metaller ile madencilik şirketlerinin önümüzdeki dönemde yakından takip edilmesini gerektiriyor.</w:t>
      </w:r>
    </w:p>
    <w:p w14:paraId="249962E5" w14:textId="77BDA845" w:rsidR="004A040E" w:rsidRDefault="004A040E" w:rsidP="004A040E">
      <w:r>
        <w:t>Avrupa tarafında büyüme ve üretici fiyatlarındaki iyileşme sinyalleri risk iştahını desteklerken, bölgenin enerji maliyetleri ve küresel ticaret koşullarına duyarlılığı devam ediyor. Üretici fiyatlarındaki gerileme maliyet baskılarının hafiflediğine işaret ederken, ekonomik aktivitedeki toparlanmanın kalıcılığı önümüzdeki dönemde Avrupa piyasaları açısından belirleyici olacak.</w:t>
      </w:r>
    </w:p>
    <w:p w14:paraId="132C97A6" w14:textId="7D18F170" w:rsidR="004A040E" w:rsidRDefault="004A040E" w:rsidP="004A040E">
      <w:r>
        <w:t xml:space="preserve">Asya piyasalarında Japonya güçlü ekonomik aktivite ve para politikası beklentileriyle öne çıkarken, Çin tarafında zayıf büyüme göstergeleri ve deflasyonist görünüm soru işaretlerini canlı tutuyor. Çin’de fonlama koşulları ile banka bilançolarındaki gelişmelerin bölgesel sermaye hareketleri üzerindeki etkisi yakından izlenirken, Japon finans kuruluşlarının bölgede artan rolü yeni bir finansal dengeye işaret ediyor. Çin’in </w:t>
      </w:r>
      <w:proofErr w:type="spellStart"/>
      <w:r>
        <w:t>yuan</w:t>
      </w:r>
      <w:proofErr w:type="spellEnd"/>
      <w:r>
        <w:t xml:space="preserve"> fonlamasını artırmaya yönelik adımları ise kısa vadede dolar sisteminden kopuştan çok, mevcut fonlama ihtiyacını daha düşük maliyetle karşılamaya yönelik bir çerçevede öne çıkıyor.</w:t>
      </w:r>
    </w:p>
    <w:p w14:paraId="32315183" w14:textId="40F356A4" w:rsidR="004A040E" w:rsidRDefault="004A040E" w:rsidP="004A040E">
      <w:r>
        <w:t xml:space="preserve">Yurt içinde </w:t>
      </w:r>
      <w:proofErr w:type="gramStart"/>
      <w:r>
        <w:t>Temmuz</w:t>
      </w:r>
      <w:proofErr w:type="gramEnd"/>
      <w:r>
        <w:t xml:space="preserve"> ayı enflasyon verileri dezenflasyon sürecinin devam ettiğine işaret etti. TÜFE aylık %1,78 ile beklentilerin altında gerçekleşirken yıllık enflasyon %31,75 seviyesine geriledi. Dayanıklı tüketim malları ve işlenmiş gıda tarafındaki yavaşlama olumlu bir görünüm sunarken, hizmet enflasyonunun yüksek seyri para politikası açısından temkinli duruşun devam etmesini gerektiriyor. Rezervlerdeki toparlanma ve yabancı yatırımcıların tahvil tarafındaki ilgisinin sürmesi TL varlıkları desteklerken, hisse senedi piyasasına yönelik yabancı girişlerinin aynı ölçüde güçlenmemesi Borsa </w:t>
      </w:r>
      <w:r>
        <w:lastRenderedPageBreak/>
        <w:t>İstanbul’daki yükselişin henüz geniş tabanlı yabancı sermaye akımına dayanmadığını gösteriyor.</w:t>
      </w:r>
    </w:p>
    <w:p w14:paraId="09470EE9" w14:textId="41FB5CB2" w:rsidR="004A040E" w:rsidRDefault="004A040E" w:rsidP="004A040E">
      <w:r>
        <w:t xml:space="preserve">Ağustos ayında yurt içi piyasaların ana gündemlerinden biri 13 Ağustos’ta açıklanacak TCMB Enflasyon Raporu olacak. Raporda yılın geri kalanına ilişkin enflasyon patikası ve para politikası mesajları, faiz indirimi beklentilerinin şekillenmesinde belirleyici olacak. Küresel tarafta ise ABD TÜFE ve ÜFE verileri, perakende satışlar ve tüketici güveni takip edilecek. ABD’de büyüme görünümünün zayıflaması </w:t>
      </w:r>
      <w:proofErr w:type="spellStart"/>
      <w:r>
        <w:t>Fed’in</w:t>
      </w:r>
      <w:proofErr w:type="spellEnd"/>
      <w:r>
        <w:t xml:space="preserve"> sıkılaşma ihtimalini azaltırken, enflasyonun yeniden yukarı yönlü sürpriz yapmaması riskli varlıklardaki pozitif görünümün korunması açısından önem taşıyor. Bu çerçevede piyasalarda güçlü şirket kârlılıkları ile daha destekleyici faiz beklentilerinin risk iştahını koruması, ancak jeopolitik gelişmeler ve enerji fiyatlarının portföylerde çeşitlendirme ihtiyacını canlı tutması bekleniyor.</w:t>
      </w:r>
    </w:p>
    <w:p w14:paraId="10B9257E" w14:textId="77777777" w:rsidR="006D4930" w:rsidRDefault="006D4930" w:rsidP="006D4930">
      <w:pPr>
        <w:jc w:val="both"/>
      </w:pPr>
      <w:proofErr w:type="spellStart"/>
      <w:r>
        <w:t>Footer</w:t>
      </w:r>
      <w:proofErr w:type="spellEnd"/>
      <w:r>
        <w:t xml:space="preserve"> Piyasa Özeti</w:t>
      </w:r>
    </w:p>
    <w:p w14:paraId="29E01756" w14:textId="77777777" w:rsidR="006D4930" w:rsidRDefault="006D4930" w:rsidP="006D4930">
      <w:pPr>
        <w:jc w:val="both"/>
      </w:pPr>
      <w:r w:rsidRPr="00074DBB">
        <w:t>Temmuz ayında yurt içi TÜFE aylık %1,78 gerçekleşirken yıllık enflasyon %31,75 seviyesine geriledi.</w:t>
      </w:r>
    </w:p>
    <w:p w14:paraId="14EBF970" w14:textId="77777777" w:rsidR="006D4930" w:rsidRPr="00BE1CC5" w:rsidRDefault="006D4930" w:rsidP="006D4930">
      <w:pPr>
        <w:jc w:val="both"/>
      </w:pPr>
      <w:proofErr w:type="spellStart"/>
      <w:r>
        <w:t>Footer</w:t>
      </w:r>
      <w:proofErr w:type="spellEnd"/>
      <w:r>
        <w:t xml:space="preserve"> Piyasa Özeti Önemli Kısım</w:t>
      </w:r>
    </w:p>
    <w:p w14:paraId="3BCD0432" w14:textId="77777777" w:rsidR="006D4930" w:rsidRDefault="006D4930" w:rsidP="006D4930">
      <w:pPr>
        <w:jc w:val="both"/>
      </w:pPr>
      <w:r w:rsidRPr="00074DBB">
        <w:t>%1,78</w:t>
      </w:r>
    </w:p>
    <w:p w14:paraId="4326C915" w14:textId="77777777" w:rsidR="006D4930" w:rsidRDefault="006D4930" w:rsidP="006D4930">
      <w:pPr>
        <w:jc w:val="both"/>
      </w:pPr>
      <w:proofErr w:type="spellStart"/>
      <w:r>
        <w:t>Footer</w:t>
      </w:r>
      <w:proofErr w:type="spellEnd"/>
      <w:r>
        <w:t xml:space="preserve"> Haftanın Fonları</w:t>
      </w:r>
    </w:p>
    <w:p w14:paraId="41FCF914" w14:textId="38397AF8" w:rsidR="006D4930" w:rsidRDefault="006D4930" w:rsidP="006D4930">
      <w:pPr>
        <w:jc w:val="both"/>
      </w:pPr>
      <w:r w:rsidRPr="00074DBB">
        <w:t>Yurt dışı hisse senedi ağırlıklı değişken fon SUC, aktif varlık dağılımının sağladığı esneklikle aylık %</w:t>
      </w:r>
      <w:r w:rsidR="002874E9">
        <w:t>1</w:t>
      </w:r>
      <w:r w:rsidRPr="00074DBB">
        <w:t>,</w:t>
      </w:r>
      <w:r w:rsidR="002874E9">
        <w:t>04</w:t>
      </w:r>
      <w:r w:rsidRPr="00074DBB">
        <w:t xml:space="preserve"> getiri sağlayarak değişken fonlar arasında öne çıktı.</w:t>
      </w:r>
    </w:p>
    <w:p w14:paraId="20EC54ED" w14:textId="77777777" w:rsidR="006D4930" w:rsidRDefault="006D4930" w:rsidP="006D4930">
      <w:pPr>
        <w:jc w:val="both"/>
      </w:pPr>
      <w:proofErr w:type="spellStart"/>
      <w:r>
        <w:t>Footer</w:t>
      </w:r>
      <w:proofErr w:type="spellEnd"/>
      <w:r>
        <w:t xml:space="preserve"> Haftanın Fonları Önemli Kısım</w:t>
      </w:r>
    </w:p>
    <w:p w14:paraId="2582C7B7" w14:textId="001E893E" w:rsidR="006D4930" w:rsidRPr="004A040E" w:rsidRDefault="006D4930" w:rsidP="006D4930">
      <w:r>
        <w:t>%</w:t>
      </w:r>
      <w:r w:rsidR="003C0C8E">
        <w:t>1</w:t>
      </w:r>
      <w:r>
        <w:t>,</w:t>
      </w:r>
      <w:r w:rsidR="003C0C8E">
        <w:t>04</w:t>
      </w:r>
    </w:p>
    <w:p w14:paraId="1502C178" w14:textId="744EDE75" w:rsidR="005B6F81" w:rsidRPr="004A040E" w:rsidRDefault="005B6F81" w:rsidP="006D4930"/>
    <w:sectPr w:rsidR="005B6F81" w:rsidRPr="004A04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09F"/>
    <w:rsid w:val="00014620"/>
    <w:rsid w:val="00014AF5"/>
    <w:rsid w:val="0002697B"/>
    <w:rsid w:val="00030058"/>
    <w:rsid w:val="00031397"/>
    <w:rsid w:val="00052F1B"/>
    <w:rsid w:val="000B1709"/>
    <w:rsid w:val="001118C2"/>
    <w:rsid w:val="0015208F"/>
    <w:rsid w:val="00167539"/>
    <w:rsid w:val="001C2729"/>
    <w:rsid w:val="001E253A"/>
    <w:rsid w:val="001E6CED"/>
    <w:rsid w:val="00213F36"/>
    <w:rsid w:val="002167AB"/>
    <w:rsid w:val="00227B94"/>
    <w:rsid w:val="00237A8A"/>
    <w:rsid w:val="00240805"/>
    <w:rsid w:val="00241E6C"/>
    <w:rsid w:val="00253D4A"/>
    <w:rsid w:val="00253DDA"/>
    <w:rsid w:val="00262DDD"/>
    <w:rsid w:val="00271E0D"/>
    <w:rsid w:val="00272700"/>
    <w:rsid w:val="0027273A"/>
    <w:rsid w:val="0027539D"/>
    <w:rsid w:val="002815F4"/>
    <w:rsid w:val="002830D7"/>
    <w:rsid w:val="002874E9"/>
    <w:rsid w:val="00297BE8"/>
    <w:rsid w:val="002A3253"/>
    <w:rsid w:val="002B13B7"/>
    <w:rsid w:val="002C585C"/>
    <w:rsid w:val="002D3A64"/>
    <w:rsid w:val="002F744D"/>
    <w:rsid w:val="00316CA5"/>
    <w:rsid w:val="00321A61"/>
    <w:rsid w:val="00335C20"/>
    <w:rsid w:val="0034081B"/>
    <w:rsid w:val="00354039"/>
    <w:rsid w:val="0035676B"/>
    <w:rsid w:val="0039022F"/>
    <w:rsid w:val="0039364F"/>
    <w:rsid w:val="00394B5E"/>
    <w:rsid w:val="003C0C8E"/>
    <w:rsid w:val="003F392B"/>
    <w:rsid w:val="0041432A"/>
    <w:rsid w:val="0042536C"/>
    <w:rsid w:val="00426FE9"/>
    <w:rsid w:val="00427B76"/>
    <w:rsid w:val="00430D48"/>
    <w:rsid w:val="004442D4"/>
    <w:rsid w:val="00456E77"/>
    <w:rsid w:val="004720DB"/>
    <w:rsid w:val="00487635"/>
    <w:rsid w:val="00495404"/>
    <w:rsid w:val="00495691"/>
    <w:rsid w:val="004A040E"/>
    <w:rsid w:val="004A22B4"/>
    <w:rsid w:val="004C4C6B"/>
    <w:rsid w:val="004E01D6"/>
    <w:rsid w:val="004E160C"/>
    <w:rsid w:val="004F0776"/>
    <w:rsid w:val="004F5E40"/>
    <w:rsid w:val="004F7B34"/>
    <w:rsid w:val="005116BE"/>
    <w:rsid w:val="00512578"/>
    <w:rsid w:val="00525EF9"/>
    <w:rsid w:val="00537707"/>
    <w:rsid w:val="00545D2B"/>
    <w:rsid w:val="0057279B"/>
    <w:rsid w:val="00584EFB"/>
    <w:rsid w:val="005A52DB"/>
    <w:rsid w:val="005B6F81"/>
    <w:rsid w:val="005B709F"/>
    <w:rsid w:val="005C04DC"/>
    <w:rsid w:val="005E432F"/>
    <w:rsid w:val="00605904"/>
    <w:rsid w:val="00616E05"/>
    <w:rsid w:val="00644D0B"/>
    <w:rsid w:val="00655796"/>
    <w:rsid w:val="00667C2E"/>
    <w:rsid w:val="00690924"/>
    <w:rsid w:val="006D4930"/>
    <w:rsid w:val="006E6F00"/>
    <w:rsid w:val="007044D2"/>
    <w:rsid w:val="00705B0F"/>
    <w:rsid w:val="00754212"/>
    <w:rsid w:val="007615B0"/>
    <w:rsid w:val="00765877"/>
    <w:rsid w:val="007A5777"/>
    <w:rsid w:val="007B4896"/>
    <w:rsid w:val="007C6C93"/>
    <w:rsid w:val="007D1A3C"/>
    <w:rsid w:val="007F1B32"/>
    <w:rsid w:val="0081384C"/>
    <w:rsid w:val="008400A7"/>
    <w:rsid w:val="00840E9F"/>
    <w:rsid w:val="00851BF1"/>
    <w:rsid w:val="008628D4"/>
    <w:rsid w:val="008711E4"/>
    <w:rsid w:val="008B68D1"/>
    <w:rsid w:val="008C1DF8"/>
    <w:rsid w:val="008C24EF"/>
    <w:rsid w:val="008D4724"/>
    <w:rsid w:val="008D6585"/>
    <w:rsid w:val="008E311C"/>
    <w:rsid w:val="008F6EE4"/>
    <w:rsid w:val="009329F1"/>
    <w:rsid w:val="00947C13"/>
    <w:rsid w:val="00951421"/>
    <w:rsid w:val="009545FF"/>
    <w:rsid w:val="00956044"/>
    <w:rsid w:val="0096480B"/>
    <w:rsid w:val="00972B96"/>
    <w:rsid w:val="00975F2C"/>
    <w:rsid w:val="009D2C28"/>
    <w:rsid w:val="009F32CB"/>
    <w:rsid w:val="00A305A9"/>
    <w:rsid w:val="00A42F9F"/>
    <w:rsid w:val="00A658FB"/>
    <w:rsid w:val="00A659B6"/>
    <w:rsid w:val="00A95924"/>
    <w:rsid w:val="00A96F8F"/>
    <w:rsid w:val="00AC66E8"/>
    <w:rsid w:val="00AD7019"/>
    <w:rsid w:val="00AF61F7"/>
    <w:rsid w:val="00B2145D"/>
    <w:rsid w:val="00B35BAE"/>
    <w:rsid w:val="00B67781"/>
    <w:rsid w:val="00B71C87"/>
    <w:rsid w:val="00B76CFD"/>
    <w:rsid w:val="00B84A8C"/>
    <w:rsid w:val="00B96DA6"/>
    <w:rsid w:val="00BA19FA"/>
    <w:rsid w:val="00BA2280"/>
    <w:rsid w:val="00BC2C59"/>
    <w:rsid w:val="00BD0672"/>
    <w:rsid w:val="00BD6F50"/>
    <w:rsid w:val="00BD7CF1"/>
    <w:rsid w:val="00BE1CC5"/>
    <w:rsid w:val="00C16BCC"/>
    <w:rsid w:val="00C21BAC"/>
    <w:rsid w:val="00C258B8"/>
    <w:rsid w:val="00C34868"/>
    <w:rsid w:val="00C355E0"/>
    <w:rsid w:val="00C50C74"/>
    <w:rsid w:val="00C802D7"/>
    <w:rsid w:val="00CA4A4C"/>
    <w:rsid w:val="00CA676B"/>
    <w:rsid w:val="00CB1C3C"/>
    <w:rsid w:val="00CB6451"/>
    <w:rsid w:val="00CC0085"/>
    <w:rsid w:val="00CF4FE9"/>
    <w:rsid w:val="00CF7FAC"/>
    <w:rsid w:val="00D12B3D"/>
    <w:rsid w:val="00D33674"/>
    <w:rsid w:val="00D43E7B"/>
    <w:rsid w:val="00D47265"/>
    <w:rsid w:val="00D7097D"/>
    <w:rsid w:val="00D75817"/>
    <w:rsid w:val="00D75C4D"/>
    <w:rsid w:val="00D94E8D"/>
    <w:rsid w:val="00DB2EB2"/>
    <w:rsid w:val="00DB46F3"/>
    <w:rsid w:val="00DD7D6B"/>
    <w:rsid w:val="00DE64C4"/>
    <w:rsid w:val="00E17903"/>
    <w:rsid w:val="00E5478E"/>
    <w:rsid w:val="00E55CAC"/>
    <w:rsid w:val="00E577AB"/>
    <w:rsid w:val="00E77338"/>
    <w:rsid w:val="00E801E7"/>
    <w:rsid w:val="00E84762"/>
    <w:rsid w:val="00E86936"/>
    <w:rsid w:val="00EA0C3D"/>
    <w:rsid w:val="00EA5DCF"/>
    <w:rsid w:val="00EB01D1"/>
    <w:rsid w:val="00ED0476"/>
    <w:rsid w:val="00ED3A83"/>
    <w:rsid w:val="00ED6C81"/>
    <w:rsid w:val="00F23C23"/>
    <w:rsid w:val="00F32750"/>
    <w:rsid w:val="00F35926"/>
    <w:rsid w:val="00FA557B"/>
    <w:rsid w:val="00FA6B56"/>
    <w:rsid w:val="00FB61F1"/>
    <w:rsid w:val="00FC2FCC"/>
    <w:rsid w:val="00FC3B52"/>
    <w:rsid w:val="00FD0A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EA61"/>
  <w15:chartTrackingRefBased/>
  <w15:docId w15:val="{227E524E-E015-4EFD-8099-89E7825A3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B7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5B70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5B709F"/>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709F"/>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709F"/>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709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709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709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709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709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5B709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5B709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B709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B709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B709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709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709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709F"/>
    <w:rPr>
      <w:rFonts w:eastAsiaTheme="majorEastAsia" w:cstheme="majorBidi"/>
      <w:color w:val="272727" w:themeColor="text1" w:themeTint="D8"/>
    </w:rPr>
  </w:style>
  <w:style w:type="paragraph" w:styleId="KonuBal">
    <w:name w:val="Title"/>
    <w:basedOn w:val="Normal"/>
    <w:next w:val="Normal"/>
    <w:link w:val="KonuBalChar"/>
    <w:uiPriority w:val="10"/>
    <w:qFormat/>
    <w:rsid w:val="005B7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709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709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709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709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709F"/>
    <w:rPr>
      <w:i/>
      <w:iCs/>
      <w:color w:val="404040" w:themeColor="text1" w:themeTint="BF"/>
    </w:rPr>
  </w:style>
  <w:style w:type="paragraph" w:styleId="ListeParagraf">
    <w:name w:val="List Paragraph"/>
    <w:basedOn w:val="Normal"/>
    <w:uiPriority w:val="34"/>
    <w:qFormat/>
    <w:rsid w:val="005B709F"/>
    <w:pPr>
      <w:ind w:left="720"/>
      <w:contextualSpacing/>
    </w:pPr>
  </w:style>
  <w:style w:type="character" w:styleId="GlVurgulama">
    <w:name w:val="Intense Emphasis"/>
    <w:basedOn w:val="VarsaylanParagrafYazTipi"/>
    <w:uiPriority w:val="21"/>
    <w:qFormat/>
    <w:rsid w:val="005B709F"/>
    <w:rPr>
      <w:i/>
      <w:iCs/>
      <w:color w:val="0F4761" w:themeColor="accent1" w:themeShade="BF"/>
    </w:rPr>
  </w:style>
  <w:style w:type="paragraph" w:styleId="GlAlnt">
    <w:name w:val="Intense Quote"/>
    <w:basedOn w:val="Normal"/>
    <w:next w:val="Normal"/>
    <w:link w:val="GlAlntChar"/>
    <w:uiPriority w:val="30"/>
    <w:qFormat/>
    <w:rsid w:val="005B7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709F"/>
    <w:rPr>
      <w:i/>
      <w:iCs/>
      <w:color w:val="0F4761" w:themeColor="accent1" w:themeShade="BF"/>
    </w:rPr>
  </w:style>
  <w:style w:type="character" w:styleId="GlBavuru">
    <w:name w:val="Intense Reference"/>
    <w:basedOn w:val="VarsaylanParagrafYazTipi"/>
    <w:uiPriority w:val="32"/>
    <w:qFormat/>
    <w:rsid w:val="005B709F"/>
    <w:rPr>
      <w:b/>
      <w:bCs/>
      <w:smallCaps/>
      <w:color w:val="0F4761" w:themeColor="accent1" w:themeShade="BF"/>
      <w:spacing w:val="5"/>
    </w:rPr>
  </w:style>
  <w:style w:type="character" w:customStyle="1" w:styleId="oypena">
    <w:name w:val="oypena"/>
    <w:basedOn w:val="VarsaylanParagrafYazTipi"/>
    <w:rsid w:val="00765877"/>
  </w:style>
  <w:style w:type="paragraph" w:styleId="NormalWeb">
    <w:name w:val="Normal (Web)"/>
    <w:basedOn w:val="Normal"/>
    <w:uiPriority w:val="99"/>
    <w:semiHidden/>
    <w:unhideWhenUsed/>
    <w:rsid w:val="0039364F"/>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3936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81830">
      <w:bodyDiv w:val="1"/>
      <w:marLeft w:val="0"/>
      <w:marRight w:val="0"/>
      <w:marTop w:val="0"/>
      <w:marBottom w:val="0"/>
      <w:divBdr>
        <w:top w:val="none" w:sz="0" w:space="0" w:color="auto"/>
        <w:left w:val="none" w:sz="0" w:space="0" w:color="auto"/>
        <w:bottom w:val="none" w:sz="0" w:space="0" w:color="auto"/>
        <w:right w:val="none" w:sz="0" w:space="0" w:color="auto"/>
      </w:divBdr>
    </w:div>
    <w:div w:id="25523840">
      <w:bodyDiv w:val="1"/>
      <w:marLeft w:val="0"/>
      <w:marRight w:val="0"/>
      <w:marTop w:val="0"/>
      <w:marBottom w:val="0"/>
      <w:divBdr>
        <w:top w:val="none" w:sz="0" w:space="0" w:color="auto"/>
        <w:left w:val="none" w:sz="0" w:space="0" w:color="auto"/>
        <w:bottom w:val="none" w:sz="0" w:space="0" w:color="auto"/>
        <w:right w:val="none" w:sz="0" w:space="0" w:color="auto"/>
      </w:divBdr>
      <w:divsChild>
        <w:div w:id="1244800329">
          <w:marLeft w:val="0"/>
          <w:marRight w:val="0"/>
          <w:marTop w:val="0"/>
          <w:marBottom w:val="0"/>
          <w:divBdr>
            <w:top w:val="none" w:sz="0" w:space="0" w:color="auto"/>
            <w:left w:val="none" w:sz="0" w:space="0" w:color="auto"/>
            <w:bottom w:val="none" w:sz="0" w:space="0" w:color="auto"/>
            <w:right w:val="none" w:sz="0" w:space="0" w:color="auto"/>
          </w:divBdr>
        </w:div>
      </w:divsChild>
    </w:div>
    <w:div w:id="47076151">
      <w:bodyDiv w:val="1"/>
      <w:marLeft w:val="0"/>
      <w:marRight w:val="0"/>
      <w:marTop w:val="0"/>
      <w:marBottom w:val="0"/>
      <w:divBdr>
        <w:top w:val="none" w:sz="0" w:space="0" w:color="auto"/>
        <w:left w:val="none" w:sz="0" w:space="0" w:color="auto"/>
        <w:bottom w:val="none" w:sz="0" w:space="0" w:color="auto"/>
        <w:right w:val="none" w:sz="0" w:space="0" w:color="auto"/>
      </w:divBdr>
      <w:divsChild>
        <w:div w:id="1104576227">
          <w:marLeft w:val="0"/>
          <w:marRight w:val="0"/>
          <w:marTop w:val="0"/>
          <w:marBottom w:val="0"/>
          <w:divBdr>
            <w:top w:val="none" w:sz="0" w:space="0" w:color="auto"/>
            <w:left w:val="none" w:sz="0" w:space="0" w:color="auto"/>
            <w:bottom w:val="none" w:sz="0" w:space="0" w:color="auto"/>
            <w:right w:val="none" w:sz="0" w:space="0" w:color="auto"/>
          </w:divBdr>
        </w:div>
      </w:divsChild>
    </w:div>
    <w:div w:id="76221150">
      <w:bodyDiv w:val="1"/>
      <w:marLeft w:val="0"/>
      <w:marRight w:val="0"/>
      <w:marTop w:val="0"/>
      <w:marBottom w:val="0"/>
      <w:divBdr>
        <w:top w:val="none" w:sz="0" w:space="0" w:color="auto"/>
        <w:left w:val="none" w:sz="0" w:space="0" w:color="auto"/>
        <w:bottom w:val="none" w:sz="0" w:space="0" w:color="auto"/>
        <w:right w:val="none" w:sz="0" w:space="0" w:color="auto"/>
      </w:divBdr>
    </w:div>
    <w:div w:id="98568140">
      <w:bodyDiv w:val="1"/>
      <w:marLeft w:val="0"/>
      <w:marRight w:val="0"/>
      <w:marTop w:val="0"/>
      <w:marBottom w:val="0"/>
      <w:divBdr>
        <w:top w:val="none" w:sz="0" w:space="0" w:color="auto"/>
        <w:left w:val="none" w:sz="0" w:space="0" w:color="auto"/>
        <w:bottom w:val="none" w:sz="0" w:space="0" w:color="auto"/>
        <w:right w:val="none" w:sz="0" w:space="0" w:color="auto"/>
      </w:divBdr>
    </w:div>
    <w:div w:id="127433357">
      <w:bodyDiv w:val="1"/>
      <w:marLeft w:val="0"/>
      <w:marRight w:val="0"/>
      <w:marTop w:val="0"/>
      <w:marBottom w:val="0"/>
      <w:divBdr>
        <w:top w:val="none" w:sz="0" w:space="0" w:color="auto"/>
        <w:left w:val="none" w:sz="0" w:space="0" w:color="auto"/>
        <w:bottom w:val="none" w:sz="0" w:space="0" w:color="auto"/>
        <w:right w:val="none" w:sz="0" w:space="0" w:color="auto"/>
      </w:divBdr>
    </w:div>
    <w:div w:id="137499014">
      <w:bodyDiv w:val="1"/>
      <w:marLeft w:val="0"/>
      <w:marRight w:val="0"/>
      <w:marTop w:val="0"/>
      <w:marBottom w:val="0"/>
      <w:divBdr>
        <w:top w:val="none" w:sz="0" w:space="0" w:color="auto"/>
        <w:left w:val="none" w:sz="0" w:space="0" w:color="auto"/>
        <w:bottom w:val="none" w:sz="0" w:space="0" w:color="auto"/>
        <w:right w:val="none" w:sz="0" w:space="0" w:color="auto"/>
      </w:divBdr>
    </w:div>
    <w:div w:id="149948033">
      <w:bodyDiv w:val="1"/>
      <w:marLeft w:val="0"/>
      <w:marRight w:val="0"/>
      <w:marTop w:val="0"/>
      <w:marBottom w:val="0"/>
      <w:divBdr>
        <w:top w:val="none" w:sz="0" w:space="0" w:color="auto"/>
        <w:left w:val="none" w:sz="0" w:space="0" w:color="auto"/>
        <w:bottom w:val="none" w:sz="0" w:space="0" w:color="auto"/>
        <w:right w:val="none" w:sz="0" w:space="0" w:color="auto"/>
      </w:divBdr>
      <w:divsChild>
        <w:div w:id="1824396129">
          <w:marLeft w:val="0"/>
          <w:marRight w:val="0"/>
          <w:marTop w:val="0"/>
          <w:marBottom w:val="0"/>
          <w:divBdr>
            <w:top w:val="none" w:sz="0" w:space="0" w:color="auto"/>
            <w:left w:val="none" w:sz="0" w:space="0" w:color="auto"/>
            <w:bottom w:val="none" w:sz="0" w:space="0" w:color="auto"/>
            <w:right w:val="none" w:sz="0" w:space="0" w:color="auto"/>
          </w:divBdr>
          <w:divsChild>
            <w:div w:id="834107904">
              <w:marLeft w:val="0"/>
              <w:marRight w:val="0"/>
              <w:marTop w:val="0"/>
              <w:marBottom w:val="0"/>
              <w:divBdr>
                <w:top w:val="none" w:sz="0" w:space="0" w:color="auto"/>
                <w:left w:val="none" w:sz="0" w:space="0" w:color="auto"/>
                <w:bottom w:val="none" w:sz="0" w:space="0" w:color="auto"/>
                <w:right w:val="none" w:sz="0" w:space="0" w:color="auto"/>
              </w:divBdr>
              <w:divsChild>
                <w:div w:id="1134516942">
                  <w:marLeft w:val="0"/>
                  <w:marRight w:val="0"/>
                  <w:marTop w:val="0"/>
                  <w:marBottom w:val="0"/>
                  <w:divBdr>
                    <w:top w:val="none" w:sz="0" w:space="0" w:color="auto"/>
                    <w:left w:val="none" w:sz="0" w:space="0" w:color="auto"/>
                    <w:bottom w:val="none" w:sz="0" w:space="0" w:color="auto"/>
                    <w:right w:val="none" w:sz="0" w:space="0" w:color="auto"/>
                  </w:divBdr>
                  <w:divsChild>
                    <w:div w:id="1517815193">
                      <w:marLeft w:val="0"/>
                      <w:marRight w:val="0"/>
                      <w:marTop w:val="0"/>
                      <w:marBottom w:val="0"/>
                      <w:divBdr>
                        <w:top w:val="none" w:sz="0" w:space="0" w:color="auto"/>
                        <w:left w:val="none" w:sz="0" w:space="0" w:color="auto"/>
                        <w:bottom w:val="none" w:sz="0" w:space="0" w:color="auto"/>
                        <w:right w:val="none" w:sz="0" w:space="0" w:color="auto"/>
                      </w:divBdr>
                      <w:divsChild>
                        <w:div w:id="1616061431">
                          <w:marLeft w:val="0"/>
                          <w:marRight w:val="0"/>
                          <w:marTop w:val="0"/>
                          <w:marBottom w:val="0"/>
                          <w:divBdr>
                            <w:top w:val="none" w:sz="0" w:space="0" w:color="auto"/>
                            <w:left w:val="none" w:sz="0" w:space="0" w:color="auto"/>
                            <w:bottom w:val="none" w:sz="0" w:space="0" w:color="auto"/>
                            <w:right w:val="none" w:sz="0" w:space="0" w:color="auto"/>
                          </w:divBdr>
                          <w:divsChild>
                            <w:div w:id="1973369052">
                              <w:marLeft w:val="0"/>
                              <w:marRight w:val="0"/>
                              <w:marTop w:val="0"/>
                              <w:marBottom w:val="0"/>
                              <w:divBdr>
                                <w:top w:val="none" w:sz="0" w:space="0" w:color="auto"/>
                                <w:left w:val="none" w:sz="0" w:space="0" w:color="auto"/>
                                <w:bottom w:val="none" w:sz="0" w:space="0" w:color="auto"/>
                                <w:right w:val="none" w:sz="0" w:space="0" w:color="auto"/>
                              </w:divBdr>
                              <w:divsChild>
                                <w:div w:id="32756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00937">
      <w:bodyDiv w:val="1"/>
      <w:marLeft w:val="0"/>
      <w:marRight w:val="0"/>
      <w:marTop w:val="0"/>
      <w:marBottom w:val="0"/>
      <w:divBdr>
        <w:top w:val="none" w:sz="0" w:space="0" w:color="auto"/>
        <w:left w:val="none" w:sz="0" w:space="0" w:color="auto"/>
        <w:bottom w:val="none" w:sz="0" w:space="0" w:color="auto"/>
        <w:right w:val="none" w:sz="0" w:space="0" w:color="auto"/>
      </w:divBdr>
    </w:div>
    <w:div w:id="171534253">
      <w:bodyDiv w:val="1"/>
      <w:marLeft w:val="0"/>
      <w:marRight w:val="0"/>
      <w:marTop w:val="0"/>
      <w:marBottom w:val="0"/>
      <w:divBdr>
        <w:top w:val="none" w:sz="0" w:space="0" w:color="auto"/>
        <w:left w:val="none" w:sz="0" w:space="0" w:color="auto"/>
        <w:bottom w:val="none" w:sz="0" w:space="0" w:color="auto"/>
        <w:right w:val="none" w:sz="0" w:space="0" w:color="auto"/>
      </w:divBdr>
    </w:div>
    <w:div w:id="172033646">
      <w:bodyDiv w:val="1"/>
      <w:marLeft w:val="0"/>
      <w:marRight w:val="0"/>
      <w:marTop w:val="0"/>
      <w:marBottom w:val="0"/>
      <w:divBdr>
        <w:top w:val="none" w:sz="0" w:space="0" w:color="auto"/>
        <w:left w:val="none" w:sz="0" w:space="0" w:color="auto"/>
        <w:bottom w:val="none" w:sz="0" w:space="0" w:color="auto"/>
        <w:right w:val="none" w:sz="0" w:space="0" w:color="auto"/>
      </w:divBdr>
      <w:divsChild>
        <w:div w:id="1974287881">
          <w:marLeft w:val="0"/>
          <w:marRight w:val="0"/>
          <w:marTop w:val="0"/>
          <w:marBottom w:val="0"/>
          <w:divBdr>
            <w:top w:val="none" w:sz="0" w:space="0" w:color="auto"/>
            <w:left w:val="none" w:sz="0" w:space="0" w:color="auto"/>
            <w:bottom w:val="none" w:sz="0" w:space="0" w:color="auto"/>
            <w:right w:val="none" w:sz="0" w:space="0" w:color="auto"/>
          </w:divBdr>
          <w:divsChild>
            <w:div w:id="1087309894">
              <w:marLeft w:val="0"/>
              <w:marRight w:val="0"/>
              <w:marTop w:val="0"/>
              <w:marBottom w:val="0"/>
              <w:divBdr>
                <w:top w:val="single" w:sz="2" w:space="0" w:color="000000"/>
                <w:left w:val="single" w:sz="2" w:space="0" w:color="000000"/>
                <w:bottom w:val="single" w:sz="2" w:space="0" w:color="000000"/>
                <w:right w:val="single" w:sz="2" w:space="0" w:color="000000"/>
              </w:divBdr>
            </w:div>
            <w:div w:id="2012021600">
              <w:marLeft w:val="0"/>
              <w:marRight w:val="0"/>
              <w:marTop w:val="0"/>
              <w:marBottom w:val="0"/>
              <w:divBdr>
                <w:top w:val="single" w:sz="2" w:space="0" w:color="000000"/>
                <w:left w:val="single" w:sz="2" w:space="0" w:color="000000"/>
                <w:bottom w:val="single" w:sz="2" w:space="0" w:color="000000"/>
                <w:right w:val="single" w:sz="2" w:space="0" w:color="000000"/>
              </w:divBdr>
            </w:div>
            <w:div w:id="2136680012">
              <w:marLeft w:val="0"/>
              <w:marRight w:val="0"/>
              <w:marTop w:val="0"/>
              <w:marBottom w:val="0"/>
              <w:divBdr>
                <w:top w:val="single" w:sz="2" w:space="0" w:color="000000"/>
                <w:left w:val="single" w:sz="2" w:space="0" w:color="000000"/>
                <w:bottom w:val="single" w:sz="2" w:space="0" w:color="000000"/>
                <w:right w:val="single" w:sz="2" w:space="0" w:color="000000"/>
              </w:divBdr>
            </w:div>
            <w:div w:id="1251502770">
              <w:marLeft w:val="0"/>
              <w:marRight w:val="0"/>
              <w:marTop w:val="0"/>
              <w:marBottom w:val="0"/>
              <w:divBdr>
                <w:top w:val="single" w:sz="2" w:space="0" w:color="000000"/>
                <w:left w:val="single" w:sz="2" w:space="0" w:color="000000"/>
                <w:bottom w:val="single" w:sz="2" w:space="0" w:color="000000"/>
                <w:right w:val="single" w:sz="2" w:space="0" w:color="000000"/>
              </w:divBdr>
            </w:div>
            <w:div w:id="1356082072">
              <w:marLeft w:val="0"/>
              <w:marRight w:val="0"/>
              <w:marTop w:val="0"/>
              <w:marBottom w:val="0"/>
              <w:divBdr>
                <w:top w:val="single" w:sz="2" w:space="0" w:color="000000"/>
                <w:left w:val="single" w:sz="2" w:space="0" w:color="000000"/>
                <w:bottom w:val="single" w:sz="2" w:space="0" w:color="000000"/>
                <w:right w:val="single" w:sz="2" w:space="0" w:color="000000"/>
              </w:divBdr>
            </w:div>
            <w:div w:id="210253248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200820820">
      <w:bodyDiv w:val="1"/>
      <w:marLeft w:val="0"/>
      <w:marRight w:val="0"/>
      <w:marTop w:val="0"/>
      <w:marBottom w:val="0"/>
      <w:divBdr>
        <w:top w:val="none" w:sz="0" w:space="0" w:color="auto"/>
        <w:left w:val="none" w:sz="0" w:space="0" w:color="auto"/>
        <w:bottom w:val="none" w:sz="0" w:space="0" w:color="auto"/>
        <w:right w:val="none" w:sz="0" w:space="0" w:color="auto"/>
      </w:divBdr>
    </w:div>
    <w:div w:id="233471476">
      <w:bodyDiv w:val="1"/>
      <w:marLeft w:val="0"/>
      <w:marRight w:val="0"/>
      <w:marTop w:val="0"/>
      <w:marBottom w:val="0"/>
      <w:divBdr>
        <w:top w:val="none" w:sz="0" w:space="0" w:color="auto"/>
        <w:left w:val="none" w:sz="0" w:space="0" w:color="auto"/>
        <w:bottom w:val="none" w:sz="0" w:space="0" w:color="auto"/>
        <w:right w:val="none" w:sz="0" w:space="0" w:color="auto"/>
      </w:divBdr>
    </w:div>
    <w:div w:id="351343789">
      <w:bodyDiv w:val="1"/>
      <w:marLeft w:val="0"/>
      <w:marRight w:val="0"/>
      <w:marTop w:val="0"/>
      <w:marBottom w:val="0"/>
      <w:divBdr>
        <w:top w:val="none" w:sz="0" w:space="0" w:color="auto"/>
        <w:left w:val="none" w:sz="0" w:space="0" w:color="auto"/>
        <w:bottom w:val="none" w:sz="0" w:space="0" w:color="auto"/>
        <w:right w:val="none" w:sz="0" w:space="0" w:color="auto"/>
      </w:divBdr>
    </w:div>
    <w:div w:id="352153347">
      <w:bodyDiv w:val="1"/>
      <w:marLeft w:val="0"/>
      <w:marRight w:val="0"/>
      <w:marTop w:val="0"/>
      <w:marBottom w:val="0"/>
      <w:divBdr>
        <w:top w:val="none" w:sz="0" w:space="0" w:color="auto"/>
        <w:left w:val="none" w:sz="0" w:space="0" w:color="auto"/>
        <w:bottom w:val="none" w:sz="0" w:space="0" w:color="auto"/>
        <w:right w:val="none" w:sz="0" w:space="0" w:color="auto"/>
      </w:divBdr>
    </w:div>
    <w:div w:id="456068688">
      <w:bodyDiv w:val="1"/>
      <w:marLeft w:val="0"/>
      <w:marRight w:val="0"/>
      <w:marTop w:val="0"/>
      <w:marBottom w:val="0"/>
      <w:divBdr>
        <w:top w:val="none" w:sz="0" w:space="0" w:color="auto"/>
        <w:left w:val="none" w:sz="0" w:space="0" w:color="auto"/>
        <w:bottom w:val="none" w:sz="0" w:space="0" w:color="auto"/>
        <w:right w:val="none" w:sz="0" w:space="0" w:color="auto"/>
      </w:divBdr>
    </w:div>
    <w:div w:id="541868771">
      <w:bodyDiv w:val="1"/>
      <w:marLeft w:val="0"/>
      <w:marRight w:val="0"/>
      <w:marTop w:val="0"/>
      <w:marBottom w:val="0"/>
      <w:divBdr>
        <w:top w:val="none" w:sz="0" w:space="0" w:color="auto"/>
        <w:left w:val="none" w:sz="0" w:space="0" w:color="auto"/>
        <w:bottom w:val="none" w:sz="0" w:space="0" w:color="auto"/>
        <w:right w:val="none" w:sz="0" w:space="0" w:color="auto"/>
      </w:divBdr>
      <w:divsChild>
        <w:div w:id="2005274692">
          <w:marLeft w:val="0"/>
          <w:marRight w:val="0"/>
          <w:marTop w:val="0"/>
          <w:marBottom w:val="0"/>
          <w:divBdr>
            <w:top w:val="none" w:sz="0" w:space="0" w:color="auto"/>
            <w:left w:val="none" w:sz="0" w:space="0" w:color="auto"/>
            <w:bottom w:val="none" w:sz="0" w:space="0" w:color="auto"/>
            <w:right w:val="none" w:sz="0" w:space="0" w:color="auto"/>
          </w:divBdr>
          <w:divsChild>
            <w:div w:id="481778649">
              <w:marLeft w:val="0"/>
              <w:marRight w:val="0"/>
              <w:marTop w:val="0"/>
              <w:marBottom w:val="0"/>
              <w:divBdr>
                <w:top w:val="single" w:sz="2" w:space="0" w:color="000000"/>
                <w:left w:val="single" w:sz="2" w:space="0" w:color="000000"/>
                <w:bottom w:val="single" w:sz="2" w:space="0" w:color="000000"/>
                <w:right w:val="single" w:sz="2" w:space="0" w:color="000000"/>
              </w:divBdr>
            </w:div>
            <w:div w:id="1150173791">
              <w:marLeft w:val="0"/>
              <w:marRight w:val="0"/>
              <w:marTop w:val="0"/>
              <w:marBottom w:val="0"/>
              <w:divBdr>
                <w:top w:val="single" w:sz="2" w:space="0" w:color="000000"/>
                <w:left w:val="single" w:sz="2" w:space="0" w:color="000000"/>
                <w:bottom w:val="single" w:sz="2" w:space="0" w:color="000000"/>
                <w:right w:val="single" w:sz="2" w:space="0" w:color="000000"/>
              </w:divBdr>
            </w:div>
            <w:div w:id="1085492701">
              <w:marLeft w:val="0"/>
              <w:marRight w:val="0"/>
              <w:marTop w:val="0"/>
              <w:marBottom w:val="0"/>
              <w:divBdr>
                <w:top w:val="single" w:sz="2" w:space="0" w:color="000000"/>
                <w:left w:val="single" w:sz="2" w:space="0" w:color="000000"/>
                <w:bottom w:val="single" w:sz="2" w:space="0" w:color="000000"/>
                <w:right w:val="single" w:sz="2" w:space="0" w:color="000000"/>
              </w:divBdr>
              <w:divsChild>
                <w:div w:id="1659070930">
                  <w:marLeft w:val="0"/>
                  <w:marRight w:val="0"/>
                  <w:marTop w:val="0"/>
                  <w:marBottom w:val="0"/>
                  <w:divBdr>
                    <w:top w:val="none" w:sz="0" w:space="0" w:color="auto"/>
                    <w:left w:val="none" w:sz="0" w:space="0" w:color="auto"/>
                    <w:bottom w:val="none" w:sz="0" w:space="0" w:color="auto"/>
                    <w:right w:val="none" w:sz="0" w:space="0" w:color="auto"/>
                  </w:divBdr>
                  <w:divsChild>
                    <w:div w:id="1074736974">
                      <w:marLeft w:val="0"/>
                      <w:marRight w:val="0"/>
                      <w:marTop w:val="0"/>
                      <w:marBottom w:val="0"/>
                      <w:divBdr>
                        <w:top w:val="single" w:sz="2" w:space="0" w:color="000000"/>
                        <w:left w:val="single" w:sz="2" w:space="0" w:color="000000"/>
                        <w:bottom w:val="single" w:sz="2" w:space="0" w:color="000000"/>
                        <w:right w:val="single" w:sz="2" w:space="0" w:color="000000"/>
                      </w:divBdr>
                      <w:divsChild>
                        <w:div w:id="1456483429">
                          <w:marLeft w:val="0"/>
                          <w:marRight w:val="0"/>
                          <w:marTop w:val="0"/>
                          <w:marBottom w:val="0"/>
                          <w:divBdr>
                            <w:top w:val="single" w:sz="2" w:space="0" w:color="000000"/>
                            <w:left w:val="single" w:sz="2" w:space="0" w:color="000000"/>
                            <w:bottom w:val="single" w:sz="2" w:space="0" w:color="000000"/>
                            <w:right w:val="single" w:sz="2" w:space="0" w:color="000000"/>
                          </w:divBdr>
                          <w:divsChild>
                            <w:div w:id="133506269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672607234">
              <w:marLeft w:val="0"/>
              <w:marRight w:val="0"/>
              <w:marTop w:val="0"/>
              <w:marBottom w:val="0"/>
              <w:divBdr>
                <w:top w:val="single" w:sz="2" w:space="0" w:color="000000"/>
                <w:left w:val="single" w:sz="2" w:space="0" w:color="000000"/>
                <w:bottom w:val="single" w:sz="2" w:space="0" w:color="000000"/>
                <w:right w:val="single" w:sz="2" w:space="0" w:color="000000"/>
              </w:divBdr>
              <w:divsChild>
                <w:div w:id="1278484940">
                  <w:marLeft w:val="0"/>
                  <w:marRight w:val="0"/>
                  <w:marTop w:val="0"/>
                  <w:marBottom w:val="0"/>
                  <w:divBdr>
                    <w:top w:val="none" w:sz="0" w:space="0" w:color="auto"/>
                    <w:left w:val="none" w:sz="0" w:space="0" w:color="auto"/>
                    <w:bottom w:val="none" w:sz="0" w:space="0" w:color="auto"/>
                    <w:right w:val="none" w:sz="0" w:space="0" w:color="auto"/>
                  </w:divBdr>
                  <w:divsChild>
                    <w:div w:id="1649745447">
                      <w:marLeft w:val="0"/>
                      <w:marRight w:val="0"/>
                      <w:marTop w:val="0"/>
                      <w:marBottom w:val="0"/>
                      <w:divBdr>
                        <w:top w:val="single" w:sz="2" w:space="0" w:color="000000"/>
                        <w:left w:val="single" w:sz="2" w:space="0" w:color="000000"/>
                        <w:bottom w:val="single" w:sz="2" w:space="0" w:color="000000"/>
                        <w:right w:val="single" w:sz="2" w:space="0" w:color="000000"/>
                      </w:divBdr>
                      <w:divsChild>
                        <w:div w:id="2055159098">
                          <w:marLeft w:val="0"/>
                          <w:marRight w:val="0"/>
                          <w:marTop w:val="0"/>
                          <w:marBottom w:val="0"/>
                          <w:divBdr>
                            <w:top w:val="single" w:sz="2" w:space="0" w:color="000000"/>
                            <w:left w:val="single" w:sz="2" w:space="0" w:color="000000"/>
                            <w:bottom w:val="single" w:sz="2" w:space="0" w:color="000000"/>
                            <w:right w:val="single" w:sz="2" w:space="0" w:color="000000"/>
                          </w:divBdr>
                          <w:divsChild>
                            <w:div w:id="11197659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544833293">
              <w:marLeft w:val="0"/>
              <w:marRight w:val="0"/>
              <w:marTop w:val="0"/>
              <w:marBottom w:val="0"/>
              <w:divBdr>
                <w:top w:val="single" w:sz="2" w:space="0" w:color="000000"/>
                <w:left w:val="single" w:sz="2" w:space="0" w:color="000000"/>
                <w:bottom w:val="single" w:sz="2" w:space="0" w:color="000000"/>
                <w:right w:val="single" w:sz="2" w:space="0" w:color="000000"/>
              </w:divBdr>
              <w:divsChild>
                <w:div w:id="276639841">
                  <w:marLeft w:val="0"/>
                  <w:marRight w:val="0"/>
                  <w:marTop w:val="0"/>
                  <w:marBottom w:val="0"/>
                  <w:divBdr>
                    <w:top w:val="none" w:sz="0" w:space="0" w:color="auto"/>
                    <w:left w:val="none" w:sz="0" w:space="0" w:color="auto"/>
                    <w:bottom w:val="none" w:sz="0" w:space="0" w:color="auto"/>
                    <w:right w:val="none" w:sz="0" w:space="0" w:color="auto"/>
                  </w:divBdr>
                  <w:divsChild>
                    <w:div w:id="1375691783">
                      <w:marLeft w:val="0"/>
                      <w:marRight w:val="0"/>
                      <w:marTop w:val="0"/>
                      <w:marBottom w:val="0"/>
                      <w:divBdr>
                        <w:top w:val="single" w:sz="2" w:space="0" w:color="000000"/>
                        <w:left w:val="single" w:sz="2" w:space="0" w:color="000000"/>
                        <w:bottom w:val="single" w:sz="2" w:space="0" w:color="000000"/>
                        <w:right w:val="single" w:sz="2" w:space="0" w:color="000000"/>
                      </w:divBdr>
                      <w:divsChild>
                        <w:div w:id="1589072187">
                          <w:marLeft w:val="0"/>
                          <w:marRight w:val="0"/>
                          <w:marTop w:val="0"/>
                          <w:marBottom w:val="0"/>
                          <w:divBdr>
                            <w:top w:val="single" w:sz="2" w:space="0" w:color="000000"/>
                            <w:left w:val="single" w:sz="2" w:space="0" w:color="000000"/>
                            <w:bottom w:val="single" w:sz="2" w:space="0" w:color="000000"/>
                            <w:right w:val="single" w:sz="2" w:space="0" w:color="000000"/>
                          </w:divBdr>
                          <w:divsChild>
                            <w:div w:id="159254591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326708693">
              <w:marLeft w:val="0"/>
              <w:marRight w:val="0"/>
              <w:marTop w:val="0"/>
              <w:marBottom w:val="0"/>
              <w:divBdr>
                <w:top w:val="single" w:sz="2" w:space="0" w:color="000000"/>
                <w:left w:val="single" w:sz="2" w:space="0" w:color="000000"/>
                <w:bottom w:val="single" w:sz="2" w:space="0" w:color="000000"/>
                <w:right w:val="single" w:sz="2" w:space="0" w:color="000000"/>
              </w:divBdr>
              <w:divsChild>
                <w:div w:id="1539970884">
                  <w:marLeft w:val="0"/>
                  <w:marRight w:val="0"/>
                  <w:marTop w:val="0"/>
                  <w:marBottom w:val="0"/>
                  <w:divBdr>
                    <w:top w:val="none" w:sz="0" w:space="0" w:color="auto"/>
                    <w:left w:val="none" w:sz="0" w:space="0" w:color="auto"/>
                    <w:bottom w:val="none" w:sz="0" w:space="0" w:color="auto"/>
                    <w:right w:val="none" w:sz="0" w:space="0" w:color="auto"/>
                  </w:divBdr>
                  <w:divsChild>
                    <w:div w:id="1668826406">
                      <w:marLeft w:val="0"/>
                      <w:marRight w:val="0"/>
                      <w:marTop w:val="0"/>
                      <w:marBottom w:val="0"/>
                      <w:divBdr>
                        <w:top w:val="single" w:sz="2" w:space="0" w:color="000000"/>
                        <w:left w:val="single" w:sz="2" w:space="0" w:color="000000"/>
                        <w:bottom w:val="single" w:sz="2" w:space="0" w:color="000000"/>
                        <w:right w:val="single" w:sz="2" w:space="0" w:color="000000"/>
                      </w:divBdr>
                      <w:divsChild>
                        <w:div w:id="298154245">
                          <w:marLeft w:val="0"/>
                          <w:marRight w:val="0"/>
                          <w:marTop w:val="0"/>
                          <w:marBottom w:val="0"/>
                          <w:divBdr>
                            <w:top w:val="single" w:sz="2" w:space="0" w:color="000000"/>
                            <w:left w:val="single" w:sz="2" w:space="0" w:color="000000"/>
                            <w:bottom w:val="single" w:sz="2" w:space="0" w:color="000000"/>
                            <w:right w:val="single" w:sz="2" w:space="0" w:color="000000"/>
                          </w:divBdr>
                          <w:divsChild>
                            <w:div w:id="143080774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1638799037">
              <w:marLeft w:val="0"/>
              <w:marRight w:val="0"/>
              <w:marTop w:val="0"/>
              <w:marBottom w:val="0"/>
              <w:divBdr>
                <w:top w:val="single" w:sz="2" w:space="0" w:color="000000"/>
                <w:left w:val="single" w:sz="2" w:space="0" w:color="000000"/>
                <w:bottom w:val="single" w:sz="2" w:space="0" w:color="000000"/>
                <w:right w:val="single" w:sz="2" w:space="0" w:color="000000"/>
              </w:divBdr>
            </w:div>
            <w:div w:id="1294366191">
              <w:marLeft w:val="0"/>
              <w:marRight w:val="0"/>
              <w:marTop w:val="0"/>
              <w:marBottom w:val="0"/>
              <w:divBdr>
                <w:top w:val="single" w:sz="2" w:space="0" w:color="000000"/>
                <w:left w:val="single" w:sz="2" w:space="0" w:color="000000"/>
                <w:bottom w:val="single" w:sz="2" w:space="0" w:color="000000"/>
                <w:right w:val="single" w:sz="2" w:space="0" w:color="000000"/>
              </w:divBdr>
              <w:divsChild>
                <w:div w:id="1268538493">
                  <w:marLeft w:val="0"/>
                  <w:marRight w:val="0"/>
                  <w:marTop w:val="0"/>
                  <w:marBottom w:val="0"/>
                  <w:divBdr>
                    <w:top w:val="none" w:sz="0" w:space="0" w:color="auto"/>
                    <w:left w:val="none" w:sz="0" w:space="0" w:color="auto"/>
                    <w:bottom w:val="none" w:sz="0" w:space="0" w:color="auto"/>
                    <w:right w:val="none" w:sz="0" w:space="0" w:color="auto"/>
                  </w:divBdr>
                  <w:divsChild>
                    <w:div w:id="1820921569">
                      <w:marLeft w:val="0"/>
                      <w:marRight w:val="0"/>
                      <w:marTop w:val="0"/>
                      <w:marBottom w:val="0"/>
                      <w:divBdr>
                        <w:top w:val="single" w:sz="2" w:space="0" w:color="000000"/>
                        <w:left w:val="single" w:sz="2" w:space="0" w:color="000000"/>
                        <w:bottom w:val="single" w:sz="2" w:space="0" w:color="000000"/>
                        <w:right w:val="single" w:sz="2" w:space="0" w:color="000000"/>
                      </w:divBdr>
                      <w:divsChild>
                        <w:div w:id="1879973419">
                          <w:marLeft w:val="0"/>
                          <w:marRight w:val="0"/>
                          <w:marTop w:val="0"/>
                          <w:marBottom w:val="0"/>
                          <w:divBdr>
                            <w:top w:val="single" w:sz="2" w:space="0" w:color="000000"/>
                            <w:left w:val="single" w:sz="2" w:space="0" w:color="000000"/>
                            <w:bottom w:val="single" w:sz="2" w:space="0" w:color="000000"/>
                            <w:right w:val="single" w:sz="2" w:space="0" w:color="000000"/>
                          </w:divBdr>
                          <w:divsChild>
                            <w:div w:id="1555119051">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 w:id="243227818">
              <w:marLeft w:val="0"/>
              <w:marRight w:val="0"/>
              <w:marTop w:val="0"/>
              <w:marBottom w:val="0"/>
              <w:divBdr>
                <w:top w:val="single" w:sz="2" w:space="0" w:color="000000"/>
                <w:left w:val="single" w:sz="2" w:space="0" w:color="000000"/>
                <w:bottom w:val="single" w:sz="2" w:space="0" w:color="000000"/>
                <w:right w:val="single" w:sz="2" w:space="0" w:color="000000"/>
              </w:divBdr>
            </w:div>
            <w:div w:id="2080784532">
              <w:marLeft w:val="0"/>
              <w:marRight w:val="0"/>
              <w:marTop w:val="0"/>
              <w:marBottom w:val="0"/>
              <w:divBdr>
                <w:top w:val="single" w:sz="2" w:space="0" w:color="000000"/>
                <w:left w:val="single" w:sz="2" w:space="0" w:color="000000"/>
                <w:bottom w:val="single" w:sz="2" w:space="0" w:color="000000"/>
                <w:right w:val="single" w:sz="2" w:space="0" w:color="000000"/>
              </w:divBdr>
            </w:div>
            <w:div w:id="322899260">
              <w:marLeft w:val="0"/>
              <w:marRight w:val="0"/>
              <w:marTop w:val="0"/>
              <w:marBottom w:val="0"/>
              <w:divBdr>
                <w:top w:val="single" w:sz="2" w:space="0" w:color="000000"/>
                <w:left w:val="single" w:sz="2" w:space="0" w:color="000000"/>
                <w:bottom w:val="single" w:sz="2" w:space="0" w:color="000000"/>
                <w:right w:val="single" w:sz="2" w:space="0" w:color="000000"/>
              </w:divBdr>
            </w:div>
            <w:div w:id="379593517">
              <w:marLeft w:val="0"/>
              <w:marRight w:val="0"/>
              <w:marTop w:val="0"/>
              <w:marBottom w:val="0"/>
              <w:divBdr>
                <w:top w:val="single" w:sz="2" w:space="0" w:color="000000"/>
                <w:left w:val="single" w:sz="2" w:space="0" w:color="000000"/>
                <w:bottom w:val="single" w:sz="2" w:space="0" w:color="000000"/>
                <w:right w:val="single" w:sz="2" w:space="0" w:color="000000"/>
              </w:divBdr>
            </w:div>
            <w:div w:id="19942112">
              <w:marLeft w:val="0"/>
              <w:marRight w:val="0"/>
              <w:marTop w:val="0"/>
              <w:marBottom w:val="0"/>
              <w:divBdr>
                <w:top w:val="single" w:sz="2" w:space="0" w:color="000000"/>
                <w:left w:val="single" w:sz="2" w:space="0" w:color="000000"/>
                <w:bottom w:val="single" w:sz="2" w:space="0" w:color="000000"/>
                <w:right w:val="single" w:sz="2" w:space="0" w:color="000000"/>
              </w:divBdr>
            </w:div>
            <w:div w:id="249432398">
              <w:marLeft w:val="0"/>
              <w:marRight w:val="0"/>
              <w:marTop w:val="0"/>
              <w:marBottom w:val="0"/>
              <w:divBdr>
                <w:top w:val="single" w:sz="2" w:space="0" w:color="000000"/>
                <w:left w:val="single" w:sz="2" w:space="0" w:color="000000"/>
                <w:bottom w:val="single" w:sz="2" w:space="0" w:color="000000"/>
                <w:right w:val="single" w:sz="2" w:space="0" w:color="000000"/>
              </w:divBdr>
            </w:div>
            <w:div w:id="2012488393">
              <w:marLeft w:val="0"/>
              <w:marRight w:val="0"/>
              <w:marTop w:val="0"/>
              <w:marBottom w:val="0"/>
              <w:divBdr>
                <w:top w:val="single" w:sz="2" w:space="0" w:color="000000"/>
                <w:left w:val="single" w:sz="2" w:space="0" w:color="000000"/>
                <w:bottom w:val="single" w:sz="2" w:space="0" w:color="000000"/>
                <w:right w:val="single" w:sz="2" w:space="0" w:color="000000"/>
              </w:divBdr>
            </w:div>
            <w:div w:id="182210420">
              <w:marLeft w:val="0"/>
              <w:marRight w:val="0"/>
              <w:marTop w:val="0"/>
              <w:marBottom w:val="0"/>
              <w:divBdr>
                <w:top w:val="single" w:sz="2" w:space="0" w:color="000000"/>
                <w:left w:val="single" w:sz="2" w:space="0" w:color="000000"/>
                <w:bottom w:val="single" w:sz="2" w:space="0" w:color="000000"/>
                <w:right w:val="single" w:sz="2" w:space="0" w:color="000000"/>
              </w:divBdr>
            </w:div>
            <w:div w:id="69168471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83882311">
      <w:bodyDiv w:val="1"/>
      <w:marLeft w:val="0"/>
      <w:marRight w:val="0"/>
      <w:marTop w:val="0"/>
      <w:marBottom w:val="0"/>
      <w:divBdr>
        <w:top w:val="none" w:sz="0" w:space="0" w:color="auto"/>
        <w:left w:val="none" w:sz="0" w:space="0" w:color="auto"/>
        <w:bottom w:val="none" w:sz="0" w:space="0" w:color="auto"/>
        <w:right w:val="none" w:sz="0" w:space="0" w:color="auto"/>
      </w:divBdr>
    </w:div>
    <w:div w:id="595794103">
      <w:bodyDiv w:val="1"/>
      <w:marLeft w:val="0"/>
      <w:marRight w:val="0"/>
      <w:marTop w:val="0"/>
      <w:marBottom w:val="0"/>
      <w:divBdr>
        <w:top w:val="none" w:sz="0" w:space="0" w:color="auto"/>
        <w:left w:val="none" w:sz="0" w:space="0" w:color="auto"/>
        <w:bottom w:val="none" w:sz="0" w:space="0" w:color="auto"/>
        <w:right w:val="none" w:sz="0" w:space="0" w:color="auto"/>
      </w:divBdr>
    </w:div>
    <w:div w:id="628172253">
      <w:bodyDiv w:val="1"/>
      <w:marLeft w:val="0"/>
      <w:marRight w:val="0"/>
      <w:marTop w:val="0"/>
      <w:marBottom w:val="0"/>
      <w:divBdr>
        <w:top w:val="none" w:sz="0" w:space="0" w:color="auto"/>
        <w:left w:val="none" w:sz="0" w:space="0" w:color="auto"/>
        <w:bottom w:val="none" w:sz="0" w:space="0" w:color="auto"/>
        <w:right w:val="none" w:sz="0" w:space="0" w:color="auto"/>
      </w:divBdr>
    </w:div>
    <w:div w:id="649869748">
      <w:bodyDiv w:val="1"/>
      <w:marLeft w:val="0"/>
      <w:marRight w:val="0"/>
      <w:marTop w:val="0"/>
      <w:marBottom w:val="0"/>
      <w:divBdr>
        <w:top w:val="none" w:sz="0" w:space="0" w:color="auto"/>
        <w:left w:val="none" w:sz="0" w:space="0" w:color="auto"/>
        <w:bottom w:val="none" w:sz="0" w:space="0" w:color="auto"/>
        <w:right w:val="none" w:sz="0" w:space="0" w:color="auto"/>
      </w:divBdr>
    </w:div>
    <w:div w:id="680619488">
      <w:bodyDiv w:val="1"/>
      <w:marLeft w:val="0"/>
      <w:marRight w:val="0"/>
      <w:marTop w:val="0"/>
      <w:marBottom w:val="0"/>
      <w:divBdr>
        <w:top w:val="none" w:sz="0" w:space="0" w:color="auto"/>
        <w:left w:val="none" w:sz="0" w:space="0" w:color="auto"/>
        <w:bottom w:val="none" w:sz="0" w:space="0" w:color="auto"/>
        <w:right w:val="none" w:sz="0" w:space="0" w:color="auto"/>
      </w:divBdr>
    </w:div>
    <w:div w:id="713820104">
      <w:bodyDiv w:val="1"/>
      <w:marLeft w:val="0"/>
      <w:marRight w:val="0"/>
      <w:marTop w:val="0"/>
      <w:marBottom w:val="0"/>
      <w:divBdr>
        <w:top w:val="none" w:sz="0" w:space="0" w:color="auto"/>
        <w:left w:val="none" w:sz="0" w:space="0" w:color="auto"/>
        <w:bottom w:val="none" w:sz="0" w:space="0" w:color="auto"/>
        <w:right w:val="none" w:sz="0" w:space="0" w:color="auto"/>
      </w:divBdr>
    </w:div>
    <w:div w:id="739644204">
      <w:bodyDiv w:val="1"/>
      <w:marLeft w:val="0"/>
      <w:marRight w:val="0"/>
      <w:marTop w:val="0"/>
      <w:marBottom w:val="0"/>
      <w:divBdr>
        <w:top w:val="none" w:sz="0" w:space="0" w:color="auto"/>
        <w:left w:val="none" w:sz="0" w:space="0" w:color="auto"/>
        <w:bottom w:val="none" w:sz="0" w:space="0" w:color="auto"/>
        <w:right w:val="none" w:sz="0" w:space="0" w:color="auto"/>
      </w:divBdr>
    </w:div>
    <w:div w:id="746193327">
      <w:bodyDiv w:val="1"/>
      <w:marLeft w:val="0"/>
      <w:marRight w:val="0"/>
      <w:marTop w:val="0"/>
      <w:marBottom w:val="0"/>
      <w:divBdr>
        <w:top w:val="none" w:sz="0" w:space="0" w:color="auto"/>
        <w:left w:val="none" w:sz="0" w:space="0" w:color="auto"/>
        <w:bottom w:val="none" w:sz="0" w:space="0" w:color="auto"/>
        <w:right w:val="none" w:sz="0" w:space="0" w:color="auto"/>
      </w:divBdr>
    </w:div>
    <w:div w:id="777213665">
      <w:bodyDiv w:val="1"/>
      <w:marLeft w:val="0"/>
      <w:marRight w:val="0"/>
      <w:marTop w:val="0"/>
      <w:marBottom w:val="0"/>
      <w:divBdr>
        <w:top w:val="none" w:sz="0" w:space="0" w:color="auto"/>
        <w:left w:val="none" w:sz="0" w:space="0" w:color="auto"/>
        <w:bottom w:val="none" w:sz="0" w:space="0" w:color="auto"/>
        <w:right w:val="none" w:sz="0" w:space="0" w:color="auto"/>
      </w:divBdr>
    </w:div>
    <w:div w:id="786586575">
      <w:bodyDiv w:val="1"/>
      <w:marLeft w:val="0"/>
      <w:marRight w:val="0"/>
      <w:marTop w:val="0"/>
      <w:marBottom w:val="0"/>
      <w:divBdr>
        <w:top w:val="none" w:sz="0" w:space="0" w:color="auto"/>
        <w:left w:val="none" w:sz="0" w:space="0" w:color="auto"/>
        <w:bottom w:val="none" w:sz="0" w:space="0" w:color="auto"/>
        <w:right w:val="none" w:sz="0" w:space="0" w:color="auto"/>
      </w:divBdr>
    </w:div>
    <w:div w:id="794063380">
      <w:bodyDiv w:val="1"/>
      <w:marLeft w:val="0"/>
      <w:marRight w:val="0"/>
      <w:marTop w:val="0"/>
      <w:marBottom w:val="0"/>
      <w:divBdr>
        <w:top w:val="none" w:sz="0" w:space="0" w:color="auto"/>
        <w:left w:val="none" w:sz="0" w:space="0" w:color="auto"/>
        <w:bottom w:val="none" w:sz="0" w:space="0" w:color="auto"/>
        <w:right w:val="none" w:sz="0" w:space="0" w:color="auto"/>
      </w:divBdr>
    </w:div>
    <w:div w:id="810905122">
      <w:bodyDiv w:val="1"/>
      <w:marLeft w:val="0"/>
      <w:marRight w:val="0"/>
      <w:marTop w:val="0"/>
      <w:marBottom w:val="0"/>
      <w:divBdr>
        <w:top w:val="none" w:sz="0" w:space="0" w:color="auto"/>
        <w:left w:val="none" w:sz="0" w:space="0" w:color="auto"/>
        <w:bottom w:val="none" w:sz="0" w:space="0" w:color="auto"/>
        <w:right w:val="none" w:sz="0" w:space="0" w:color="auto"/>
      </w:divBdr>
      <w:divsChild>
        <w:div w:id="1862619753">
          <w:marLeft w:val="0"/>
          <w:marRight w:val="0"/>
          <w:marTop w:val="0"/>
          <w:marBottom w:val="0"/>
          <w:divBdr>
            <w:top w:val="none" w:sz="0" w:space="0" w:color="auto"/>
            <w:left w:val="none" w:sz="0" w:space="0" w:color="auto"/>
            <w:bottom w:val="none" w:sz="0" w:space="0" w:color="auto"/>
            <w:right w:val="none" w:sz="0" w:space="0" w:color="auto"/>
          </w:divBdr>
          <w:divsChild>
            <w:div w:id="218706917">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12715259">
      <w:bodyDiv w:val="1"/>
      <w:marLeft w:val="0"/>
      <w:marRight w:val="0"/>
      <w:marTop w:val="0"/>
      <w:marBottom w:val="0"/>
      <w:divBdr>
        <w:top w:val="none" w:sz="0" w:space="0" w:color="auto"/>
        <w:left w:val="none" w:sz="0" w:space="0" w:color="auto"/>
        <w:bottom w:val="none" w:sz="0" w:space="0" w:color="auto"/>
        <w:right w:val="none" w:sz="0" w:space="0" w:color="auto"/>
      </w:divBdr>
    </w:div>
    <w:div w:id="842166716">
      <w:bodyDiv w:val="1"/>
      <w:marLeft w:val="0"/>
      <w:marRight w:val="0"/>
      <w:marTop w:val="0"/>
      <w:marBottom w:val="0"/>
      <w:divBdr>
        <w:top w:val="none" w:sz="0" w:space="0" w:color="auto"/>
        <w:left w:val="none" w:sz="0" w:space="0" w:color="auto"/>
        <w:bottom w:val="none" w:sz="0" w:space="0" w:color="auto"/>
        <w:right w:val="none" w:sz="0" w:space="0" w:color="auto"/>
      </w:divBdr>
    </w:div>
    <w:div w:id="846411108">
      <w:bodyDiv w:val="1"/>
      <w:marLeft w:val="0"/>
      <w:marRight w:val="0"/>
      <w:marTop w:val="0"/>
      <w:marBottom w:val="0"/>
      <w:divBdr>
        <w:top w:val="none" w:sz="0" w:space="0" w:color="auto"/>
        <w:left w:val="none" w:sz="0" w:space="0" w:color="auto"/>
        <w:bottom w:val="none" w:sz="0" w:space="0" w:color="auto"/>
        <w:right w:val="none" w:sz="0" w:space="0" w:color="auto"/>
      </w:divBdr>
    </w:div>
    <w:div w:id="879590924">
      <w:bodyDiv w:val="1"/>
      <w:marLeft w:val="0"/>
      <w:marRight w:val="0"/>
      <w:marTop w:val="0"/>
      <w:marBottom w:val="0"/>
      <w:divBdr>
        <w:top w:val="none" w:sz="0" w:space="0" w:color="auto"/>
        <w:left w:val="none" w:sz="0" w:space="0" w:color="auto"/>
        <w:bottom w:val="none" w:sz="0" w:space="0" w:color="auto"/>
        <w:right w:val="none" w:sz="0" w:space="0" w:color="auto"/>
      </w:divBdr>
    </w:div>
    <w:div w:id="976495725">
      <w:bodyDiv w:val="1"/>
      <w:marLeft w:val="0"/>
      <w:marRight w:val="0"/>
      <w:marTop w:val="0"/>
      <w:marBottom w:val="0"/>
      <w:divBdr>
        <w:top w:val="none" w:sz="0" w:space="0" w:color="auto"/>
        <w:left w:val="none" w:sz="0" w:space="0" w:color="auto"/>
        <w:bottom w:val="none" w:sz="0" w:space="0" w:color="auto"/>
        <w:right w:val="none" w:sz="0" w:space="0" w:color="auto"/>
      </w:divBdr>
    </w:div>
    <w:div w:id="999231720">
      <w:bodyDiv w:val="1"/>
      <w:marLeft w:val="0"/>
      <w:marRight w:val="0"/>
      <w:marTop w:val="0"/>
      <w:marBottom w:val="0"/>
      <w:divBdr>
        <w:top w:val="none" w:sz="0" w:space="0" w:color="auto"/>
        <w:left w:val="none" w:sz="0" w:space="0" w:color="auto"/>
        <w:bottom w:val="none" w:sz="0" w:space="0" w:color="auto"/>
        <w:right w:val="none" w:sz="0" w:space="0" w:color="auto"/>
      </w:divBdr>
      <w:divsChild>
        <w:div w:id="739181973">
          <w:marLeft w:val="0"/>
          <w:marRight w:val="0"/>
          <w:marTop w:val="0"/>
          <w:marBottom w:val="0"/>
          <w:divBdr>
            <w:top w:val="none" w:sz="0" w:space="0" w:color="auto"/>
            <w:left w:val="none" w:sz="0" w:space="0" w:color="auto"/>
            <w:bottom w:val="none" w:sz="0" w:space="0" w:color="auto"/>
            <w:right w:val="none" w:sz="0" w:space="0" w:color="auto"/>
          </w:divBdr>
        </w:div>
      </w:divsChild>
    </w:div>
    <w:div w:id="999429726">
      <w:bodyDiv w:val="1"/>
      <w:marLeft w:val="0"/>
      <w:marRight w:val="0"/>
      <w:marTop w:val="0"/>
      <w:marBottom w:val="0"/>
      <w:divBdr>
        <w:top w:val="none" w:sz="0" w:space="0" w:color="auto"/>
        <w:left w:val="none" w:sz="0" w:space="0" w:color="auto"/>
        <w:bottom w:val="none" w:sz="0" w:space="0" w:color="auto"/>
        <w:right w:val="none" w:sz="0" w:space="0" w:color="auto"/>
      </w:divBdr>
    </w:div>
    <w:div w:id="1003507220">
      <w:bodyDiv w:val="1"/>
      <w:marLeft w:val="0"/>
      <w:marRight w:val="0"/>
      <w:marTop w:val="0"/>
      <w:marBottom w:val="0"/>
      <w:divBdr>
        <w:top w:val="none" w:sz="0" w:space="0" w:color="auto"/>
        <w:left w:val="none" w:sz="0" w:space="0" w:color="auto"/>
        <w:bottom w:val="none" w:sz="0" w:space="0" w:color="auto"/>
        <w:right w:val="none" w:sz="0" w:space="0" w:color="auto"/>
      </w:divBdr>
      <w:divsChild>
        <w:div w:id="1371806420">
          <w:marLeft w:val="0"/>
          <w:marRight w:val="0"/>
          <w:marTop w:val="0"/>
          <w:marBottom w:val="0"/>
          <w:divBdr>
            <w:top w:val="none" w:sz="0" w:space="0" w:color="auto"/>
            <w:left w:val="none" w:sz="0" w:space="0" w:color="auto"/>
            <w:bottom w:val="none" w:sz="0" w:space="0" w:color="auto"/>
            <w:right w:val="none" w:sz="0" w:space="0" w:color="auto"/>
          </w:divBdr>
        </w:div>
      </w:divsChild>
    </w:div>
    <w:div w:id="1017998517">
      <w:bodyDiv w:val="1"/>
      <w:marLeft w:val="0"/>
      <w:marRight w:val="0"/>
      <w:marTop w:val="0"/>
      <w:marBottom w:val="0"/>
      <w:divBdr>
        <w:top w:val="none" w:sz="0" w:space="0" w:color="auto"/>
        <w:left w:val="none" w:sz="0" w:space="0" w:color="auto"/>
        <w:bottom w:val="none" w:sz="0" w:space="0" w:color="auto"/>
        <w:right w:val="none" w:sz="0" w:space="0" w:color="auto"/>
      </w:divBdr>
      <w:divsChild>
        <w:div w:id="2060007326">
          <w:marLeft w:val="0"/>
          <w:marRight w:val="0"/>
          <w:marTop w:val="0"/>
          <w:marBottom w:val="0"/>
          <w:divBdr>
            <w:top w:val="none" w:sz="0" w:space="0" w:color="auto"/>
            <w:left w:val="none" w:sz="0" w:space="0" w:color="auto"/>
            <w:bottom w:val="none" w:sz="0" w:space="0" w:color="auto"/>
            <w:right w:val="none" w:sz="0" w:space="0" w:color="auto"/>
          </w:divBdr>
        </w:div>
      </w:divsChild>
    </w:div>
    <w:div w:id="1064641396">
      <w:bodyDiv w:val="1"/>
      <w:marLeft w:val="0"/>
      <w:marRight w:val="0"/>
      <w:marTop w:val="0"/>
      <w:marBottom w:val="0"/>
      <w:divBdr>
        <w:top w:val="none" w:sz="0" w:space="0" w:color="auto"/>
        <w:left w:val="none" w:sz="0" w:space="0" w:color="auto"/>
        <w:bottom w:val="none" w:sz="0" w:space="0" w:color="auto"/>
        <w:right w:val="none" w:sz="0" w:space="0" w:color="auto"/>
      </w:divBdr>
    </w:div>
    <w:div w:id="1070229964">
      <w:bodyDiv w:val="1"/>
      <w:marLeft w:val="0"/>
      <w:marRight w:val="0"/>
      <w:marTop w:val="0"/>
      <w:marBottom w:val="0"/>
      <w:divBdr>
        <w:top w:val="none" w:sz="0" w:space="0" w:color="auto"/>
        <w:left w:val="none" w:sz="0" w:space="0" w:color="auto"/>
        <w:bottom w:val="none" w:sz="0" w:space="0" w:color="auto"/>
        <w:right w:val="none" w:sz="0" w:space="0" w:color="auto"/>
      </w:divBdr>
      <w:divsChild>
        <w:div w:id="170873784">
          <w:marLeft w:val="0"/>
          <w:marRight w:val="0"/>
          <w:marTop w:val="0"/>
          <w:marBottom w:val="0"/>
          <w:divBdr>
            <w:top w:val="none" w:sz="0" w:space="0" w:color="auto"/>
            <w:left w:val="none" w:sz="0" w:space="0" w:color="auto"/>
            <w:bottom w:val="none" w:sz="0" w:space="0" w:color="auto"/>
            <w:right w:val="none" w:sz="0" w:space="0" w:color="auto"/>
          </w:divBdr>
          <w:divsChild>
            <w:div w:id="1204633331">
              <w:marLeft w:val="0"/>
              <w:marRight w:val="0"/>
              <w:marTop w:val="0"/>
              <w:marBottom w:val="0"/>
              <w:divBdr>
                <w:top w:val="none" w:sz="0" w:space="0" w:color="auto"/>
                <w:left w:val="none" w:sz="0" w:space="0" w:color="auto"/>
                <w:bottom w:val="none" w:sz="0" w:space="0" w:color="auto"/>
                <w:right w:val="none" w:sz="0" w:space="0" w:color="auto"/>
              </w:divBdr>
              <w:divsChild>
                <w:div w:id="652022694">
                  <w:marLeft w:val="0"/>
                  <w:marRight w:val="0"/>
                  <w:marTop w:val="0"/>
                  <w:marBottom w:val="0"/>
                  <w:divBdr>
                    <w:top w:val="none" w:sz="0" w:space="0" w:color="auto"/>
                    <w:left w:val="none" w:sz="0" w:space="0" w:color="auto"/>
                    <w:bottom w:val="none" w:sz="0" w:space="0" w:color="auto"/>
                    <w:right w:val="none" w:sz="0" w:space="0" w:color="auto"/>
                  </w:divBdr>
                  <w:divsChild>
                    <w:div w:id="1862277570">
                      <w:marLeft w:val="0"/>
                      <w:marRight w:val="0"/>
                      <w:marTop w:val="0"/>
                      <w:marBottom w:val="0"/>
                      <w:divBdr>
                        <w:top w:val="none" w:sz="0" w:space="0" w:color="auto"/>
                        <w:left w:val="none" w:sz="0" w:space="0" w:color="auto"/>
                        <w:bottom w:val="none" w:sz="0" w:space="0" w:color="auto"/>
                        <w:right w:val="none" w:sz="0" w:space="0" w:color="auto"/>
                      </w:divBdr>
                      <w:divsChild>
                        <w:div w:id="1859661580">
                          <w:marLeft w:val="0"/>
                          <w:marRight w:val="0"/>
                          <w:marTop w:val="0"/>
                          <w:marBottom w:val="0"/>
                          <w:divBdr>
                            <w:top w:val="none" w:sz="0" w:space="0" w:color="auto"/>
                            <w:left w:val="none" w:sz="0" w:space="0" w:color="auto"/>
                            <w:bottom w:val="none" w:sz="0" w:space="0" w:color="auto"/>
                            <w:right w:val="none" w:sz="0" w:space="0" w:color="auto"/>
                          </w:divBdr>
                          <w:divsChild>
                            <w:div w:id="1514493480">
                              <w:marLeft w:val="0"/>
                              <w:marRight w:val="0"/>
                              <w:marTop w:val="0"/>
                              <w:marBottom w:val="0"/>
                              <w:divBdr>
                                <w:top w:val="none" w:sz="0" w:space="0" w:color="auto"/>
                                <w:left w:val="none" w:sz="0" w:space="0" w:color="auto"/>
                                <w:bottom w:val="none" w:sz="0" w:space="0" w:color="auto"/>
                                <w:right w:val="none" w:sz="0" w:space="0" w:color="auto"/>
                              </w:divBdr>
                              <w:divsChild>
                                <w:div w:id="1425801935">
                                  <w:marLeft w:val="0"/>
                                  <w:marRight w:val="0"/>
                                  <w:marTop w:val="0"/>
                                  <w:marBottom w:val="0"/>
                                  <w:divBdr>
                                    <w:top w:val="none" w:sz="0" w:space="0" w:color="auto"/>
                                    <w:left w:val="none" w:sz="0" w:space="0" w:color="auto"/>
                                    <w:bottom w:val="none" w:sz="0" w:space="0" w:color="auto"/>
                                    <w:right w:val="none" w:sz="0" w:space="0" w:color="auto"/>
                                  </w:divBdr>
                                  <w:divsChild>
                                    <w:div w:id="990407993">
                                      <w:marLeft w:val="0"/>
                                      <w:marRight w:val="0"/>
                                      <w:marTop w:val="0"/>
                                      <w:marBottom w:val="0"/>
                                      <w:divBdr>
                                        <w:top w:val="none" w:sz="0" w:space="0" w:color="auto"/>
                                        <w:left w:val="none" w:sz="0" w:space="0" w:color="auto"/>
                                        <w:bottom w:val="none" w:sz="0" w:space="0" w:color="auto"/>
                                        <w:right w:val="none" w:sz="0" w:space="0" w:color="auto"/>
                                      </w:divBdr>
                                      <w:divsChild>
                                        <w:div w:id="929898379">
                                          <w:marLeft w:val="0"/>
                                          <w:marRight w:val="0"/>
                                          <w:marTop w:val="0"/>
                                          <w:marBottom w:val="0"/>
                                          <w:divBdr>
                                            <w:top w:val="none" w:sz="0" w:space="0" w:color="auto"/>
                                            <w:left w:val="none" w:sz="0" w:space="0" w:color="auto"/>
                                            <w:bottom w:val="none" w:sz="0" w:space="0" w:color="auto"/>
                                            <w:right w:val="none" w:sz="0" w:space="0" w:color="auto"/>
                                          </w:divBdr>
                                          <w:divsChild>
                                            <w:div w:id="339695350">
                                              <w:marLeft w:val="0"/>
                                              <w:marRight w:val="0"/>
                                              <w:marTop w:val="0"/>
                                              <w:marBottom w:val="0"/>
                                              <w:divBdr>
                                                <w:top w:val="none" w:sz="0" w:space="0" w:color="auto"/>
                                                <w:left w:val="none" w:sz="0" w:space="0" w:color="auto"/>
                                                <w:bottom w:val="none" w:sz="0" w:space="0" w:color="auto"/>
                                                <w:right w:val="none" w:sz="0" w:space="0" w:color="auto"/>
                                              </w:divBdr>
                                              <w:divsChild>
                                                <w:div w:id="1690178692">
                                                  <w:marLeft w:val="0"/>
                                                  <w:marRight w:val="0"/>
                                                  <w:marTop w:val="0"/>
                                                  <w:marBottom w:val="0"/>
                                                  <w:divBdr>
                                                    <w:top w:val="none" w:sz="0" w:space="0" w:color="auto"/>
                                                    <w:left w:val="none" w:sz="0" w:space="0" w:color="auto"/>
                                                    <w:bottom w:val="none" w:sz="0" w:space="0" w:color="auto"/>
                                                    <w:right w:val="none" w:sz="0" w:space="0" w:color="auto"/>
                                                  </w:divBdr>
                                                  <w:divsChild>
                                                    <w:div w:id="4375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6519485">
          <w:marLeft w:val="0"/>
          <w:marRight w:val="0"/>
          <w:marTop w:val="0"/>
          <w:marBottom w:val="0"/>
          <w:divBdr>
            <w:top w:val="none" w:sz="0" w:space="0" w:color="auto"/>
            <w:left w:val="none" w:sz="0" w:space="0" w:color="auto"/>
            <w:bottom w:val="none" w:sz="0" w:space="0" w:color="auto"/>
            <w:right w:val="none" w:sz="0" w:space="0" w:color="auto"/>
          </w:divBdr>
          <w:divsChild>
            <w:div w:id="240677760">
              <w:marLeft w:val="0"/>
              <w:marRight w:val="0"/>
              <w:marTop w:val="0"/>
              <w:marBottom w:val="0"/>
              <w:divBdr>
                <w:top w:val="none" w:sz="0" w:space="0" w:color="auto"/>
                <w:left w:val="none" w:sz="0" w:space="0" w:color="auto"/>
                <w:bottom w:val="none" w:sz="0" w:space="0" w:color="auto"/>
                <w:right w:val="none" w:sz="0" w:space="0" w:color="auto"/>
              </w:divBdr>
              <w:divsChild>
                <w:div w:id="1483159926">
                  <w:marLeft w:val="0"/>
                  <w:marRight w:val="0"/>
                  <w:marTop w:val="0"/>
                  <w:marBottom w:val="0"/>
                  <w:divBdr>
                    <w:top w:val="none" w:sz="0" w:space="0" w:color="auto"/>
                    <w:left w:val="none" w:sz="0" w:space="0" w:color="auto"/>
                    <w:bottom w:val="none" w:sz="0" w:space="0" w:color="auto"/>
                    <w:right w:val="none" w:sz="0" w:space="0" w:color="auto"/>
                  </w:divBdr>
                  <w:divsChild>
                    <w:div w:id="215703968">
                      <w:marLeft w:val="0"/>
                      <w:marRight w:val="0"/>
                      <w:marTop w:val="0"/>
                      <w:marBottom w:val="0"/>
                      <w:divBdr>
                        <w:top w:val="none" w:sz="0" w:space="0" w:color="auto"/>
                        <w:left w:val="none" w:sz="0" w:space="0" w:color="auto"/>
                        <w:bottom w:val="none" w:sz="0" w:space="0" w:color="auto"/>
                        <w:right w:val="none" w:sz="0" w:space="0" w:color="auto"/>
                      </w:divBdr>
                      <w:divsChild>
                        <w:div w:id="14614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427472">
      <w:bodyDiv w:val="1"/>
      <w:marLeft w:val="0"/>
      <w:marRight w:val="0"/>
      <w:marTop w:val="0"/>
      <w:marBottom w:val="0"/>
      <w:divBdr>
        <w:top w:val="none" w:sz="0" w:space="0" w:color="auto"/>
        <w:left w:val="none" w:sz="0" w:space="0" w:color="auto"/>
        <w:bottom w:val="none" w:sz="0" w:space="0" w:color="auto"/>
        <w:right w:val="none" w:sz="0" w:space="0" w:color="auto"/>
      </w:divBdr>
    </w:div>
    <w:div w:id="1074426412">
      <w:bodyDiv w:val="1"/>
      <w:marLeft w:val="0"/>
      <w:marRight w:val="0"/>
      <w:marTop w:val="0"/>
      <w:marBottom w:val="0"/>
      <w:divBdr>
        <w:top w:val="none" w:sz="0" w:space="0" w:color="auto"/>
        <w:left w:val="none" w:sz="0" w:space="0" w:color="auto"/>
        <w:bottom w:val="none" w:sz="0" w:space="0" w:color="auto"/>
        <w:right w:val="none" w:sz="0" w:space="0" w:color="auto"/>
      </w:divBdr>
    </w:div>
    <w:div w:id="1097285610">
      <w:bodyDiv w:val="1"/>
      <w:marLeft w:val="0"/>
      <w:marRight w:val="0"/>
      <w:marTop w:val="0"/>
      <w:marBottom w:val="0"/>
      <w:divBdr>
        <w:top w:val="none" w:sz="0" w:space="0" w:color="auto"/>
        <w:left w:val="none" w:sz="0" w:space="0" w:color="auto"/>
        <w:bottom w:val="none" w:sz="0" w:space="0" w:color="auto"/>
        <w:right w:val="none" w:sz="0" w:space="0" w:color="auto"/>
      </w:divBdr>
    </w:div>
    <w:div w:id="1116094088">
      <w:bodyDiv w:val="1"/>
      <w:marLeft w:val="0"/>
      <w:marRight w:val="0"/>
      <w:marTop w:val="0"/>
      <w:marBottom w:val="0"/>
      <w:divBdr>
        <w:top w:val="none" w:sz="0" w:space="0" w:color="auto"/>
        <w:left w:val="none" w:sz="0" w:space="0" w:color="auto"/>
        <w:bottom w:val="none" w:sz="0" w:space="0" w:color="auto"/>
        <w:right w:val="none" w:sz="0" w:space="0" w:color="auto"/>
      </w:divBdr>
    </w:div>
    <w:div w:id="1229344082">
      <w:bodyDiv w:val="1"/>
      <w:marLeft w:val="0"/>
      <w:marRight w:val="0"/>
      <w:marTop w:val="0"/>
      <w:marBottom w:val="0"/>
      <w:divBdr>
        <w:top w:val="none" w:sz="0" w:space="0" w:color="auto"/>
        <w:left w:val="none" w:sz="0" w:space="0" w:color="auto"/>
        <w:bottom w:val="none" w:sz="0" w:space="0" w:color="auto"/>
        <w:right w:val="none" w:sz="0" w:space="0" w:color="auto"/>
      </w:divBdr>
    </w:div>
    <w:div w:id="1235041618">
      <w:bodyDiv w:val="1"/>
      <w:marLeft w:val="0"/>
      <w:marRight w:val="0"/>
      <w:marTop w:val="0"/>
      <w:marBottom w:val="0"/>
      <w:divBdr>
        <w:top w:val="none" w:sz="0" w:space="0" w:color="auto"/>
        <w:left w:val="none" w:sz="0" w:space="0" w:color="auto"/>
        <w:bottom w:val="none" w:sz="0" w:space="0" w:color="auto"/>
        <w:right w:val="none" w:sz="0" w:space="0" w:color="auto"/>
      </w:divBdr>
    </w:div>
    <w:div w:id="1313288712">
      <w:bodyDiv w:val="1"/>
      <w:marLeft w:val="0"/>
      <w:marRight w:val="0"/>
      <w:marTop w:val="0"/>
      <w:marBottom w:val="0"/>
      <w:divBdr>
        <w:top w:val="none" w:sz="0" w:space="0" w:color="auto"/>
        <w:left w:val="none" w:sz="0" w:space="0" w:color="auto"/>
        <w:bottom w:val="none" w:sz="0" w:space="0" w:color="auto"/>
        <w:right w:val="none" w:sz="0" w:space="0" w:color="auto"/>
      </w:divBdr>
    </w:div>
    <w:div w:id="1330399867">
      <w:bodyDiv w:val="1"/>
      <w:marLeft w:val="0"/>
      <w:marRight w:val="0"/>
      <w:marTop w:val="0"/>
      <w:marBottom w:val="0"/>
      <w:divBdr>
        <w:top w:val="none" w:sz="0" w:space="0" w:color="auto"/>
        <w:left w:val="none" w:sz="0" w:space="0" w:color="auto"/>
        <w:bottom w:val="none" w:sz="0" w:space="0" w:color="auto"/>
        <w:right w:val="none" w:sz="0" w:space="0" w:color="auto"/>
      </w:divBdr>
    </w:div>
    <w:div w:id="1415585174">
      <w:bodyDiv w:val="1"/>
      <w:marLeft w:val="0"/>
      <w:marRight w:val="0"/>
      <w:marTop w:val="0"/>
      <w:marBottom w:val="0"/>
      <w:divBdr>
        <w:top w:val="none" w:sz="0" w:space="0" w:color="auto"/>
        <w:left w:val="none" w:sz="0" w:space="0" w:color="auto"/>
        <w:bottom w:val="none" w:sz="0" w:space="0" w:color="auto"/>
        <w:right w:val="none" w:sz="0" w:space="0" w:color="auto"/>
      </w:divBdr>
      <w:divsChild>
        <w:div w:id="92170630">
          <w:marLeft w:val="0"/>
          <w:marRight w:val="0"/>
          <w:marTop w:val="0"/>
          <w:marBottom w:val="0"/>
          <w:divBdr>
            <w:top w:val="none" w:sz="0" w:space="0" w:color="auto"/>
            <w:left w:val="none" w:sz="0" w:space="0" w:color="auto"/>
            <w:bottom w:val="none" w:sz="0" w:space="0" w:color="auto"/>
            <w:right w:val="none" w:sz="0" w:space="0" w:color="auto"/>
          </w:divBdr>
        </w:div>
      </w:divsChild>
    </w:div>
    <w:div w:id="1439325970">
      <w:bodyDiv w:val="1"/>
      <w:marLeft w:val="0"/>
      <w:marRight w:val="0"/>
      <w:marTop w:val="0"/>
      <w:marBottom w:val="0"/>
      <w:divBdr>
        <w:top w:val="none" w:sz="0" w:space="0" w:color="auto"/>
        <w:left w:val="none" w:sz="0" w:space="0" w:color="auto"/>
        <w:bottom w:val="none" w:sz="0" w:space="0" w:color="auto"/>
        <w:right w:val="none" w:sz="0" w:space="0" w:color="auto"/>
      </w:divBdr>
    </w:div>
    <w:div w:id="1441608881">
      <w:bodyDiv w:val="1"/>
      <w:marLeft w:val="0"/>
      <w:marRight w:val="0"/>
      <w:marTop w:val="0"/>
      <w:marBottom w:val="0"/>
      <w:divBdr>
        <w:top w:val="none" w:sz="0" w:space="0" w:color="auto"/>
        <w:left w:val="none" w:sz="0" w:space="0" w:color="auto"/>
        <w:bottom w:val="none" w:sz="0" w:space="0" w:color="auto"/>
        <w:right w:val="none" w:sz="0" w:space="0" w:color="auto"/>
      </w:divBdr>
    </w:div>
    <w:div w:id="1474103020">
      <w:bodyDiv w:val="1"/>
      <w:marLeft w:val="0"/>
      <w:marRight w:val="0"/>
      <w:marTop w:val="0"/>
      <w:marBottom w:val="0"/>
      <w:divBdr>
        <w:top w:val="none" w:sz="0" w:space="0" w:color="auto"/>
        <w:left w:val="none" w:sz="0" w:space="0" w:color="auto"/>
        <w:bottom w:val="none" w:sz="0" w:space="0" w:color="auto"/>
        <w:right w:val="none" w:sz="0" w:space="0" w:color="auto"/>
      </w:divBdr>
    </w:div>
    <w:div w:id="1547328535">
      <w:bodyDiv w:val="1"/>
      <w:marLeft w:val="0"/>
      <w:marRight w:val="0"/>
      <w:marTop w:val="0"/>
      <w:marBottom w:val="0"/>
      <w:divBdr>
        <w:top w:val="none" w:sz="0" w:space="0" w:color="auto"/>
        <w:left w:val="none" w:sz="0" w:space="0" w:color="auto"/>
        <w:bottom w:val="none" w:sz="0" w:space="0" w:color="auto"/>
        <w:right w:val="none" w:sz="0" w:space="0" w:color="auto"/>
      </w:divBdr>
    </w:div>
    <w:div w:id="1602641338">
      <w:bodyDiv w:val="1"/>
      <w:marLeft w:val="0"/>
      <w:marRight w:val="0"/>
      <w:marTop w:val="0"/>
      <w:marBottom w:val="0"/>
      <w:divBdr>
        <w:top w:val="none" w:sz="0" w:space="0" w:color="auto"/>
        <w:left w:val="none" w:sz="0" w:space="0" w:color="auto"/>
        <w:bottom w:val="none" w:sz="0" w:space="0" w:color="auto"/>
        <w:right w:val="none" w:sz="0" w:space="0" w:color="auto"/>
      </w:divBdr>
      <w:divsChild>
        <w:div w:id="1149328640">
          <w:marLeft w:val="0"/>
          <w:marRight w:val="0"/>
          <w:marTop w:val="0"/>
          <w:marBottom w:val="0"/>
          <w:divBdr>
            <w:top w:val="none" w:sz="0" w:space="0" w:color="auto"/>
            <w:left w:val="none" w:sz="0" w:space="0" w:color="auto"/>
            <w:bottom w:val="none" w:sz="0" w:space="0" w:color="auto"/>
            <w:right w:val="none" w:sz="0" w:space="0" w:color="auto"/>
          </w:divBdr>
          <w:divsChild>
            <w:div w:id="1481536178">
              <w:marLeft w:val="0"/>
              <w:marRight w:val="0"/>
              <w:marTop w:val="0"/>
              <w:marBottom w:val="0"/>
              <w:divBdr>
                <w:top w:val="none" w:sz="0" w:space="0" w:color="auto"/>
                <w:left w:val="none" w:sz="0" w:space="0" w:color="auto"/>
                <w:bottom w:val="none" w:sz="0" w:space="0" w:color="auto"/>
                <w:right w:val="none" w:sz="0" w:space="0" w:color="auto"/>
              </w:divBdr>
              <w:divsChild>
                <w:div w:id="1512838538">
                  <w:marLeft w:val="0"/>
                  <w:marRight w:val="0"/>
                  <w:marTop w:val="0"/>
                  <w:marBottom w:val="0"/>
                  <w:divBdr>
                    <w:top w:val="none" w:sz="0" w:space="0" w:color="auto"/>
                    <w:left w:val="none" w:sz="0" w:space="0" w:color="auto"/>
                    <w:bottom w:val="none" w:sz="0" w:space="0" w:color="auto"/>
                    <w:right w:val="none" w:sz="0" w:space="0" w:color="auto"/>
                  </w:divBdr>
                  <w:divsChild>
                    <w:div w:id="561329058">
                      <w:marLeft w:val="0"/>
                      <w:marRight w:val="0"/>
                      <w:marTop w:val="0"/>
                      <w:marBottom w:val="0"/>
                      <w:divBdr>
                        <w:top w:val="none" w:sz="0" w:space="0" w:color="auto"/>
                        <w:left w:val="none" w:sz="0" w:space="0" w:color="auto"/>
                        <w:bottom w:val="none" w:sz="0" w:space="0" w:color="auto"/>
                        <w:right w:val="none" w:sz="0" w:space="0" w:color="auto"/>
                      </w:divBdr>
                      <w:divsChild>
                        <w:div w:id="1676028081">
                          <w:marLeft w:val="0"/>
                          <w:marRight w:val="0"/>
                          <w:marTop w:val="0"/>
                          <w:marBottom w:val="0"/>
                          <w:divBdr>
                            <w:top w:val="none" w:sz="0" w:space="0" w:color="auto"/>
                            <w:left w:val="none" w:sz="0" w:space="0" w:color="auto"/>
                            <w:bottom w:val="none" w:sz="0" w:space="0" w:color="auto"/>
                            <w:right w:val="none" w:sz="0" w:space="0" w:color="auto"/>
                          </w:divBdr>
                          <w:divsChild>
                            <w:div w:id="1704820607">
                              <w:marLeft w:val="0"/>
                              <w:marRight w:val="0"/>
                              <w:marTop w:val="0"/>
                              <w:marBottom w:val="0"/>
                              <w:divBdr>
                                <w:top w:val="none" w:sz="0" w:space="0" w:color="auto"/>
                                <w:left w:val="none" w:sz="0" w:space="0" w:color="auto"/>
                                <w:bottom w:val="none" w:sz="0" w:space="0" w:color="auto"/>
                                <w:right w:val="none" w:sz="0" w:space="0" w:color="auto"/>
                              </w:divBdr>
                              <w:divsChild>
                                <w:div w:id="162870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6253084">
      <w:bodyDiv w:val="1"/>
      <w:marLeft w:val="0"/>
      <w:marRight w:val="0"/>
      <w:marTop w:val="0"/>
      <w:marBottom w:val="0"/>
      <w:divBdr>
        <w:top w:val="none" w:sz="0" w:space="0" w:color="auto"/>
        <w:left w:val="none" w:sz="0" w:space="0" w:color="auto"/>
        <w:bottom w:val="none" w:sz="0" w:space="0" w:color="auto"/>
        <w:right w:val="none" w:sz="0" w:space="0" w:color="auto"/>
      </w:divBdr>
    </w:div>
    <w:div w:id="1719283915">
      <w:bodyDiv w:val="1"/>
      <w:marLeft w:val="0"/>
      <w:marRight w:val="0"/>
      <w:marTop w:val="0"/>
      <w:marBottom w:val="0"/>
      <w:divBdr>
        <w:top w:val="none" w:sz="0" w:space="0" w:color="auto"/>
        <w:left w:val="none" w:sz="0" w:space="0" w:color="auto"/>
        <w:bottom w:val="none" w:sz="0" w:space="0" w:color="auto"/>
        <w:right w:val="none" w:sz="0" w:space="0" w:color="auto"/>
      </w:divBdr>
    </w:div>
    <w:div w:id="1739866167">
      <w:bodyDiv w:val="1"/>
      <w:marLeft w:val="0"/>
      <w:marRight w:val="0"/>
      <w:marTop w:val="0"/>
      <w:marBottom w:val="0"/>
      <w:divBdr>
        <w:top w:val="none" w:sz="0" w:space="0" w:color="auto"/>
        <w:left w:val="none" w:sz="0" w:space="0" w:color="auto"/>
        <w:bottom w:val="none" w:sz="0" w:space="0" w:color="auto"/>
        <w:right w:val="none" w:sz="0" w:space="0" w:color="auto"/>
      </w:divBdr>
    </w:div>
    <w:div w:id="1746489483">
      <w:bodyDiv w:val="1"/>
      <w:marLeft w:val="0"/>
      <w:marRight w:val="0"/>
      <w:marTop w:val="0"/>
      <w:marBottom w:val="0"/>
      <w:divBdr>
        <w:top w:val="none" w:sz="0" w:space="0" w:color="auto"/>
        <w:left w:val="none" w:sz="0" w:space="0" w:color="auto"/>
        <w:bottom w:val="none" w:sz="0" w:space="0" w:color="auto"/>
        <w:right w:val="none" w:sz="0" w:space="0" w:color="auto"/>
      </w:divBdr>
    </w:div>
    <w:div w:id="1756516634">
      <w:bodyDiv w:val="1"/>
      <w:marLeft w:val="0"/>
      <w:marRight w:val="0"/>
      <w:marTop w:val="0"/>
      <w:marBottom w:val="0"/>
      <w:divBdr>
        <w:top w:val="none" w:sz="0" w:space="0" w:color="auto"/>
        <w:left w:val="none" w:sz="0" w:space="0" w:color="auto"/>
        <w:bottom w:val="none" w:sz="0" w:space="0" w:color="auto"/>
        <w:right w:val="none" w:sz="0" w:space="0" w:color="auto"/>
      </w:divBdr>
    </w:div>
    <w:div w:id="1767993900">
      <w:bodyDiv w:val="1"/>
      <w:marLeft w:val="0"/>
      <w:marRight w:val="0"/>
      <w:marTop w:val="0"/>
      <w:marBottom w:val="0"/>
      <w:divBdr>
        <w:top w:val="none" w:sz="0" w:space="0" w:color="auto"/>
        <w:left w:val="none" w:sz="0" w:space="0" w:color="auto"/>
        <w:bottom w:val="none" w:sz="0" w:space="0" w:color="auto"/>
        <w:right w:val="none" w:sz="0" w:space="0" w:color="auto"/>
      </w:divBdr>
    </w:div>
    <w:div w:id="1792279892">
      <w:bodyDiv w:val="1"/>
      <w:marLeft w:val="0"/>
      <w:marRight w:val="0"/>
      <w:marTop w:val="0"/>
      <w:marBottom w:val="0"/>
      <w:divBdr>
        <w:top w:val="none" w:sz="0" w:space="0" w:color="auto"/>
        <w:left w:val="none" w:sz="0" w:space="0" w:color="auto"/>
        <w:bottom w:val="none" w:sz="0" w:space="0" w:color="auto"/>
        <w:right w:val="none" w:sz="0" w:space="0" w:color="auto"/>
      </w:divBdr>
    </w:div>
    <w:div w:id="1792699571">
      <w:bodyDiv w:val="1"/>
      <w:marLeft w:val="0"/>
      <w:marRight w:val="0"/>
      <w:marTop w:val="0"/>
      <w:marBottom w:val="0"/>
      <w:divBdr>
        <w:top w:val="none" w:sz="0" w:space="0" w:color="auto"/>
        <w:left w:val="none" w:sz="0" w:space="0" w:color="auto"/>
        <w:bottom w:val="none" w:sz="0" w:space="0" w:color="auto"/>
        <w:right w:val="none" w:sz="0" w:space="0" w:color="auto"/>
      </w:divBdr>
    </w:div>
    <w:div w:id="1804151263">
      <w:bodyDiv w:val="1"/>
      <w:marLeft w:val="0"/>
      <w:marRight w:val="0"/>
      <w:marTop w:val="0"/>
      <w:marBottom w:val="0"/>
      <w:divBdr>
        <w:top w:val="none" w:sz="0" w:space="0" w:color="auto"/>
        <w:left w:val="none" w:sz="0" w:space="0" w:color="auto"/>
        <w:bottom w:val="none" w:sz="0" w:space="0" w:color="auto"/>
        <w:right w:val="none" w:sz="0" w:space="0" w:color="auto"/>
      </w:divBdr>
      <w:divsChild>
        <w:div w:id="2079814914">
          <w:marLeft w:val="0"/>
          <w:marRight w:val="0"/>
          <w:marTop w:val="0"/>
          <w:marBottom w:val="0"/>
          <w:divBdr>
            <w:top w:val="none" w:sz="0" w:space="0" w:color="auto"/>
            <w:left w:val="none" w:sz="0" w:space="0" w:color="auto"/>
            <w:bottom w:val="none" w:sz="0" w:space="0" w:color="auto"/>
            <w:right w:val="none" w:sz="0" w:space="0" w:color="auto"/>
          </w:divBdr>
        </w:div>
      </w:divsChild>
    </w:div>
    <w:div w:id="1870988998">
      <w:bodyDiv w:val="1"/>
      <w:marLeft w:val="0"/>
      <w:marRight w:val="0"/>
      <w:marTop w:val="0"/>
      <w:marBottom w:val="0"/>
      <w:divBdr>
        <w:top w:val="none" w:sz="0" w:space="0" w:color="auto"/>
        <w:left w:val="none" w:sz="0" w:space="0" w:color="auto"/>
        <w:bottom w:val="none" w:sz="0" w:space="0" w:color="auto"/>
        <w:right w:val="none" w:sz="0" w:space="0" w:color="auto"/>
      </w:divBdr>
    </w:div>
    <w:div w:id="1883662989">
      <w:bodyDiv w:val="1"/>
      <w:marLeft w:val="0"/>
      <w:marRight w:val="0"/>
      <w:marTop w:val="0"/>
      <w:marBottom w:val="0"/>
      <w:divBdr>
        <w:top w:val="none" w:sz="0" w:space="0" w:color="auto"/>
        <w:left w:val="none" w:sz="0" w:space="0" w:color="auto"/>
        <w:bottom w:val="none" w:sz="0" w:space="0" w:color="auto"/>
        <w:right w:val="none" w:sz="0" w:space="0" w:color="auto"/>
      </w:divBdr>
    </w:div>
    <w:div w:id="1897006808">
      <w:bodyDiv w:val="1"/>
      <w:marLeft w:val="0"/>
      <w:marRight w:val="0"/>
      <w:marTop w:val="0"/>
      <w:marBottom w:val="0"/>
      <w:divBdr>
        <w:top w:val="none" w:sz="0" w:space="0" w:color="auto"/>
        <w:left w:val="none" w:sz="0" w:space="0" w:color="auto"/>
        <w:bottom w:val="none" w:sz="0" w:space="0" w:color="auto"/>
        <w:right w:val="none" w:sz="0" w:space="0" w:color="auto"/>
      </w:divBdr>
    </w:div>
    <w:div w:id="1953854419">
      <w:bodyDiv w:val="1"/>
      <w:marLeft w:val="0"/>
      <w:marRight w:val="0"/>
      <w:marTop w:val="0"/>
      <w:marBottom w:val="0"/>
      <w:divBdr>
        <w:top w:val="none" w:sz="0" w:space="0" w:color="auto"/>
        <w:left w:val="none" w:sz="0" w:space="0" w:color="auto"/>
        <w:bottom w:val="none" w:sz="0" w:space="0" w:color="auto"/>
        <w:right w:val="none" w:sz="0" w:space="0" w:color="auto"/>
      </w:divBdr>
    </w:div>
    <w:div w:id="1997687981">
      <w:bodyDiv w:val="1"/>
      <w:marLeft w:val="0"/>
      <w:marRight w:val="0"/>
      <w:marTop w:val="0"/>
      <w:marBottom w:val="0"/>
      <w:divBdr>
        <w:top w:val="none" w:sz="0" w:space="0" w:color="auto"/>
        <w:left w:val="none" w:sz="0" w:space="0" w:color="auto"/>
        <w:bottom w:val="none" w:sz="0" w:space="0" w:color="auto"/>
        <w:right w:val="none" w:sz="0" w:space="0" w:color="auto"/>
      </w:divBdr>
    </w:div>
    <w:div w:id="2021465715">
      <w:bodyDiv w:val="1"/>
      <w:marLeft w:val="0"/>
      <w:marRight w:val="0"/>
      <w:marTop w:val="0"/>
      <w:marBottom w:val="0"/>
      <w:divBdr>
        <w:top w:val="none" w:sz="0" w:space="0" w:color="auto"/>
        <w:left w:val="none" w:sz="0" w:space="0" w:color="auto"/>
        <w:bottom w:val="none" w:sz="0" w:space="0" w:color="auto"/>
        <w:right w:val="none" w:sz="0" w:space="0" w:color="auto"/>
      </w:divBdr>
    </w:div>
    <w:div w:id="2044402451">
      <w:bodyDiv w:val="1"/>
      <w:marLeft w:val="0"/>
      <w:marRight w:val="0"/>
      <w:marTop w:val="0"/>
      <w:marBottom w:val="0"/>
      <w:divBdr>
        <w:top w:val="none" w:sz="0" w:space="0" w:color="auto"/>
        <w:left w:val="none" w:sz="0" w:space="0" w:color="auto"/>
        <w:bottom w:val="none" w:sz="0" w:space="0" w:color="auto"/>
        <w:right w:val="none" w:sz="0" w:space="0" w:color="auto"/>
      </w:divBdr>
    </w:div>
    <w:div w:id="2077895720">
      <w:bodyDiv w:val="1"/>
      <w:marLeft w:val="0"/>
      <w:marRight w:val="0"/>
      <w:marTop w:val="0"/>
      <w:marBottom w:val="0"/>
      <w:divBdr>
        <w:top w:val="none" w:sz="0" w:space="0" w:color="auto"/>
        <w:left w:val="none" w:sz="0" w:space="0" w:color="auto"/>
        <w:bottom w:val="none" w:sz="0" w:space="0" w:color="auto"/>
        <w:right w:val="none" w:sz="0" w:space="0" w:color="auto"/>
      </w:divBdr>
    </w:div>
    <w:div w:id="211066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1117</Words>
  <Characters>6369</Characters>
  <Application>Microsoft Office Word</Application>
  <DocSecurity>0</DocSecurity>
  <Lines>53</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Bulutcan ÜN</dc:creator>
  <cp:keywords/>
  <dc:description/>
  <cp:lastModifiedBy>Tunahan ÇAKMAK</cp:lastModifiedBy>
  <cp:revision>7</cp:revision>
  <dcterms:created xsi:type="dcterms:W3CDTF">2026-07-13T08:04:00Z</dcterms:created>
  <dcterms:modified xsi:type="dcterms:W3CDTF">2026-08-10T08:05:00Z</dcterms:modified>
</cp:coreProperties>
</file>